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b w:val="1"/>
          <w:sz w:val="30"/>
          <w:szCs w:val="30"/>
        </w:rPr>
      </w:pPr>
      <w:r w:rsidDel="00000000" w:rsidR="00000000" w:rsidRPr="00000000">
        <w:rPr>
          <w:rFonts w:ascii="Raleway" w:cs="Raleway" w:eastAsia="Raleway" w:hAnsi="Raleway"/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4763</wp:posOffset>
            </wp:positionH>
            <wp:positionV relativeFrom="page">
              <wp:posOffset>-14287</wp:posOffset>
            </wp:positionV>
            <wp:extent cx="7598465" cy="132397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7678" l="0" r="0" t="-29"/>
                    <a:stretch>
                      <a:fillRect/>
                    </a:stretch>
                  </pic:blipFill>
                  <pic:spPr>
                    <a:xfrm>
                      <a:off x="0" y="0"/>
                      <a:ext cx="7598465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533400</wp:posOffset>
                </wp:positionV>
                <wp:extent cx="6172200" cy="18145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6000" y="1958200"/>
                          <a:ext cx="7210200" cy="213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533400</wp:posOffset>
                </wp:positionV>
                <wp:extent cx="6172200" cy="18145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814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hd w:fill="f3f3f3" w:val="clear"/>
          <w:rtl w:val="0"/>
        </w:rPr>
        <w:t xml:space="preserve">POR DENTRO DESTE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O modelo de parecer para recursos fornece uma base preestabelecida para respostas aos eventuais recursos que seu projeto possa receber após a divulgação do resultado preliminar do desafio de inovação aberta.</w:t>
      </w:r>
    </w:p>
    <w:p w:rsidR="00000000" w:rsidDel="00000000" w:rsidP="00000000" w:rsidRDefault="00000000" w:rsidRPr="00000000" w14:paraId="00000005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Se você já usa ou conhece outros modelos de parecer para recursos da sua área ou organização, fique à vontade para substituir a proposta apresentada aqui.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Processo: Nº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 ______________</w:t>
        <w:br w:type="textWrapping"/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  <w:t xml:space="preserve">Assunto: Parecer ao recurso interposto por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[nome do participante]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,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participante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do Desafio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[nome do desafio]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, ao resultado preliminar da avaliação das propostas apresentadas, nos termos do Edital nº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________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I. RELATÓRIO</w:t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[contextualizar a demanda por recurso e o que foi solicitado pelo participante]</w:t>
      </w:r>
    </w:p>
    <w:p w:rsidR="00000000" w:rsidDel="00000000" w:rsidP="00000000" w:rsidRDefault="00000000" w:rsidRPr="00000000" w14:paraId="0000000F">
      <w:pPr>
        <w:ind w:firstLine="72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Trata-se de resposta ao recurso interposto pelo participante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participante]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ao resultado da avaliação das propostas apresentadas ao Desafio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desafio]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com base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Edital nº ________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1">
      <w:pPr>
        <w:ind w:firstLine="72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equipe participante interpôs recurso ao resultado preliminar, publicado em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[data]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no endereço gov.br/desafios, solicitando esclarecimentos quanto à nota final e posição no ranking da solução.</w:t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II. FUNDAMENTAÇÃO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[análise do recurso com base no edital, nos eventos ocorridos e argumentos apresentados pelo participante]</w:t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III. CONCLUSÃO</w:t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[Deferir ou indeferir o recurso com base na fundamentação]</w:t>
      </w:r>
    </w:p>
    <w:p w:rsidR="00000000" w:rsidDel="00000000" w:rsidP="00000000" w:rsidRDefault="00000000" w:rsidRPr="00000000" w14:paraId="0000001A">
      <w:pPr>
        <w:ind w:firstLine="72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Exemplo1: 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Tendo em vista os argumentos acima apresentados,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delibera-se pelo provimento do recurso.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Exemplo 2: Tendo em vista os argumentos acima apresentados,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delibera-se pelo não provimento do recurso e pela manutenção da avaliação realizada pela Comissão Avaliadora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NOME</w:t>
      </w:r>
    </w:p>
    <w:p w:rsidR="00000000" w:rsidDel="00000000" w:rsidP="00000000" w:rsidRDefault="00000000" w:rsidRPr="00000000" w14:paraId="0000001F">
      <w:pPr>
        <w:ind w:firstLine="720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Presidente da Comissão Avaliadora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523.1102362204729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