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F39C" w14:textId="45686160" w:rsidR="003714B2" w:rsidRDefault="00C115B8" w:rsidP="000B7B0D">
      <w:bookmarkStart w:id="0" w:name="_Hlk14278387"/>
      <w:r>
        <w:rPr>
          <w:noProof/>
        </w:rPr>
        <w:drawing>
          <wp:inline distT="0" distB="0" distL="0" distR="0" wp14:anchorId="25734D52" wp14:editId="58A4CD64">
            <wp:extent cx="5391150" cy="552450"/>
            <wp:effectExtent l="0" t="0" r="0" b="0"/>
            <wp:docPr id="13" name="Imagem 13" descr="logo_extenso-uma-li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extenso-uma-linh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552450"/>
                    </a:xfrm>
                    <a:prstGeom prst="rect">
                      <a:avLst/>
                    </a:prstGeom>
                    <a:noFill/>
                    <a:ln>
                      <a:noFill/>
                    </a:ln>
                  </pic:spPr>
                </pic:pic>
              </a:graphicData>
            </a:graphic>
          </wp:inline>
        </w:drawing>
      </w:r>
      <w:bookmarkEnd w:id="0"/>
    </w:p>
    <w:p w14:paraId="604FD4DF" w14:textId="69C6FA2E" w:rsidR="0010069E" w:rsidRPr="00643B1C" w:rsidRDefault="00345E4C" w:rsidP="0010069E">
      <w:pPr>
        <w:jc w:val="center"/>
        <w:rPr>
          <w:caps/>
        </w:rPr>
      </w:pPr>
      <w:r>
        <w:rPr>
          <w:noProof/>
          <w:shd w:val="clear" w:color="auto" w:fill="auto"/>
        </w:rPr>
        <mc:AlternateContent>
          <mc:Choice Requires="wps">
            <w:drawing>
              <wp:anchor distT="0" distB="0" distL="114300" distR="114300" simplePos="0" relativeHeight="251658240" behindDoc="0" locked="1" layoutInCell="1" allowOverlap="1" wp14:anchorId="6EBCAC6F" wp14:editId="5CAB01A9">
                <wp:simplePos x="0" y="0"/>
                <wp:positionH relativeFrom="column">
                  <wp:posOffset>283845</wp:posOffset>
                </wp:positionH>
                <wp:positionV relativeFrom="paragraph">
                  <wp:posOffset>142875</wp:posOffset>
                </wp:positionV>
                <wp:extent cx="5610225" cy="821055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2105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707D3C1" w14:textId="77777777" w:rsidR="00351EB8" w:rsidRDefault="00351EB8" w:rsidP="00345E4C">
                            <w:pPr>
                              <w:jc w:val="center"/>
                              <w:rPr>
                                <w:rFonts w:ascii="Arial" w:hAnsi="Arial" w:cs="Arial"/>
                              </w:rPr>
                            </w:pPr>
                          </w:p>
                          <w:p w14:paraId="02539C16" w14:textId="77777777" w:rsidR="00351EB8" w:rsidRPr="00E62991" w:rsidRDefault="00351EB8" w:rsidP="00345E4C">
                            <w:pPr>
                              <w:jc w:val="center"/>
                              <w:rPr>
                                <w:rFonts w:ascii="Arial" w:hAnsi="Arial" w:cs="Arial"/>
                              </w:rPr>
                            </w:pPr>
                          </w:p>
                          <w:p w14:paraId="5C97ACF7" w14:textId="77777777" w:rsidR="00351EB8" w:rsidRDefault="00351EB8" w:rsidP="00345E4C">
                            <w:pPr>
                              <w:jc w:val="center"/>
                              <w:rPr>
                                <w:rFonts w:ascii="Arial" w:hAnsi="Arial" w:cs="Arial"/>
                                <w:b/>
                                <w:sz w:val="36"/>
                                <w:szCs w:val="36"/>
                              </w:rPr>
                            </w:pPr>
                          </w:p>
                          <w:p w14:paraId="41D369AE" w14:textId="77777777" w:rsidR="00351EB8" w:rsidRDefault="00351EB8" w:rsidP="00345E4C">
                            <w:pPr>
                              <w:jc w:val="center"/>
                              <w:rPr>
                                <w:rFonts w:ascii="Arial" w:hAnsi="Arial" w:cs="Arial"/>
                                <w:b/>
                                <w:sz w:val="36"/>
                                <w:szCs w:val="36"/>
                              </w:rPr>
                            </w:pPr>
                          </w:p>
                          <w:p w14:paraId="668A22E8" w14:textId="77777777" w:rsidR="00351EB8" w:rsidRPr="00643B1C" w:rsidRDefault="00351EB8" w:rsidP="00345E4C">
                            <w:pPr>
                              <w:jc w:val="center"/>
                              <w:rPr>
                                <w:sz w:val="36"/>
                                <w:szCs w:val="36"/>
                              </w:rPr>
                            </w:pPr>
                          </w:p>
                          <w:p w14:paraId="17C33B7B" w14:textId="2D7B76E2" w:rsidR="00351EB8" w:rsidRPr="00643B1C" w:rsidRDefault="00351EB8" w:rsidP="00345E4C">
                            <w:pPr>
                              <w:jc w:val="center"/>
                              <w:rPr>
                                <w:caps/>
                              </w:rPr>
                            </w:pPr>
                            <w:r w:rsidRPr="00643B1C">
                              <w:rPr>
                                <w:caps/>
                              </w:rPr>
                              <w:t>O relacionamento entre Resultado do Tesouro Nacional, Estatísticas Fiscais Trimestrais do Governo Geral e o Boletim de Finanças dos Entes Subnacionais: uma análise exploratória sobre o gasto com pessoal, com previdência e com investimento</w:t>
                            </w:r>
                          </w:p>
                          <w:p w14:paraId="37CD9069" w14:textId="77777777" w:rsidR="00351EB8" w:rsidRPr="00643B1C" w:rsidRDefault="00351EB8" w:rsidP="00345E4C">
                            <w:pPr>
                              <w:jc w:val="center"/>
                              <w:rPr>
                                <w:b/>
                              </w:rPr>
                            </w:pPr>
                          </w:p>
                          <w:p w14:paraId="6429E4DC" w14:textId="77777777" w:rsidR="00351EB8" w:rsidRPr="00643B1C" w:rsidRDefault="00351EB8" w:rsidP="00345E4C">
                            <w:pPr>
                              <w:jc w:val="center"/>
                              <w:rPr>
                                <w:b/>
                              </w:rPr>
                            </w:pPr>
                          </w:p>
                          <w:p w14:paraId="4FCC1CB8" w14:textId="77777777" w:rsidR="00351EB8" w:rsidRDefault="00351EB8" w:rsidP="004960B8">
                            <w:pPr>
                              <w:jc w:val="center"/>
                              <w:rPr>
                                <w:b/>
                              </w:rPr>
                            </w:pPr>
                          </w:p>
                          <w:p w14:paraId="35F1760E" w14:textId="77777777" w:rsidR="00351EB8" w:rsidRDefault="00351EB8" w:rsidP="004960B8">
                            <w:pPr>
                              <w:jc w:val="center"/>
                              <w:rPr>
                                <w:b/>
                              </w:rPr>
                            </w:pPr>
                          </w:p>
                          <w:p w14:paraId="506BE3B3" w14:textId="03965E1D" w:rsidR="00351EB8" w:rsidRDefault="00351EB8" w:rsidP="004960B8">
                            <w:pPr>
                              <w:jc w:val="center"/>
                              <w:rPr>
                                <w:b/>
                              </w:rPr>
                            </w:pPr>
                          </w:p>
                          <w:p w14:paraId="3AA541E5" w14:textId="70DDD358" w:rsidR="00351EB8" w:rsidRDefault="00351EB8" w:rsidP="004960B8">
                            <w:pPr>
                              <w:jc w:val="center"/>
                              <w:rPr>
                                <w:b/>
                              </w:rPr>
                            </w:pPr>
                          </w:p>
                          <w:p w14:paraId="0901B90E" w14:textId="77777777" w:rsidR="00351EB8" w:rsidRDefault="00351EB8" w:rsidP="004960B8">
                            <w:pPr>
                              <w:jc w:val="center"/>
                              <w:rPr>
                                <w:b/>
                              </w:rPr>
                            </w:pPr>
                          </w:p>
                          <w:p w14:paraId="05F87B7A" w14:textId="77777777" w:rsidR="00351EB8" w:rsidRDefault="00351EB8" w:rsidP="004960B8">
                            <w:pPr>
                              <w:jc w:val="center"/>
                              <w:rPr>
                                <w:b/>
                              </w:rPr>
                            </w:pPr>
                          </w:p>
                          <w:p w14:paraId="72EB62B9" w14:textId="560B2E35" w:rsidR="00351EB8" w:rsidRPr="00643B1C" w:rsidRDefault="00351EB8" w:rsidP="004960B8">
                            <w:pPr>
                              <w:jc w:val="center"/>
                              <w:rPr>
                                <w:caps/>
                              </w:rPr>
                            </w:pPr>
                            <w:r w:rsidRPr="00643B1C">
                              <w:rPr>
                                <w:caps/>
                              </w:rPr>
                              <w:t>Jordão Mota Gonçalves</w:t>
                            </w:r>
                          </w:p>
                          <w:p w14:paraId="7668F75F" w14:textId="77777777" w:rsidR="00351EB8" w:rsidRPr="00643B1C" w:rsidRDefault="00351EB8" w:rsidP="00345E4C">
                            <w:pPr>
                              <w:jc w:val="center"/>
                              <w:rPr>
                                <w:b/>
                              </w:rPr>
                            </w:pPr>
                          </w:p>
                          <w:p w14:paraId="33E6E67B" w14:textId="77777777" w:rsidR="00351EB8" w:rsidRPr="00643B1C" w:rsidRDefault="00351EB8" w:rsidP="00345E4C">
                            <w:pPr>
                              <w:jc w:val="center"/>
                              <w:rPr>
                                <w:b/>
                              </w:rPr>
                            </w:pPr>
                          </w:p>
                          <w:p w14:paraId="3C24D6F9" w14:textId="77777777" w:rsidR="00351EB8" w:rsidRPr="00643B1C" w:rsidRDefault="00351EB8" w:rsidP="00345E4C"/>
                          <w:p w14:paraId="583F482F" w14:textId="52126804" w:rsidR="00351EB8" w:rsidRDefault="00351EB8" w:rsidP="00345E4C">
                            <w:pPr>
                              <w:jc w:val="center"/>
                              <w:rPr>
                                <w:b/>
                              </w:rPr>
                            </w:pPr>
                          </w:p>
                          <w:p w14:paraId="7D1DDB35" w14:textId="7D6F7690" w:rsidR="00351EB8" w:rsidRDefault="00351EB8" w:rsidP="00345E4C">
                            <w:pPr>
                              <w:jc w:val="center"/>
                              <w:rPr>
                                <w:b/>
                              </w:rPr>
                            </w:pPr>
                          </w:p>
                          <w:p w14:paraId="38246B53" w14:textId="6836101D" w:rsidR="00351EB8" w:rsidRDefault="00351EB8" w:rsidP="00345E4C">
                            <w:pPr>
                              <w:jc w:val="center"/>
                              <w:rPr>
                                <w:b/>
                              </w:rPr>
                            </w:pPr>
                          </w:p>
                          <w:p w14:paraId="7D1514E1" w14:textId="2CCEEE9B" w:rsidR="00351EB8" w:rsidRDefault="00351EB8" w:rsidP="00345E4C">
                            <w:pPr>
                              <w:jc w:val="center"/>
                              <w:rPr>
                                <w:b/>
                              </w:rPr>
                            </w:pPr>
                          </w:p>
                          <w:p w14:paraId="19A47552" w14:textId="77777777" w:rsidR="00351EB8" w:rsidRPr="00643B1C" w:rsidRDefault="00351EB8" w:rsidP="00345E4C">
                            <w:pPr>
                              <w:jc w:val="center"/>
                              <w:rPr>
                                <w:b/>
                              </w:rPr>
                            </w:pPr>
                          </w:p>
                          <w:p w14:paraId="0EC10978" w14:textId="0852725D" w:rsidR="00351EB8" w:rsidRPr="00643B1C" w:rsidRDefault="00351EB8" w:rsidP="00345E4C">
                            <w:pPr>
                              <w:jc w:val="center"/>
                              <w:rPr>
                                <w:caps/>
                              </w:rPr>
                            </w:pPr>
                            <w:r w:rsidRPr="00643B1C">
                              <w:rPr>
                                <w:caps/>
                              </w:rPr>
                              <w:t>Brasília</w:t>
                            </w:r>
                          </w:p>
                          <w:p w14:paraId="1E9504A2" w14:textId="030F3F36" w:rsidR="00351EB8" w:rsidRPr="00643B1C" w:rsidRDefault="00351EB8" w:rsidP="00345E4C">
                            <w:pPr>
                              <w:jc w:val="center"/>
                            </w:pPr>
                            <w:r>
                              <w:t xml:space="preserve">Agosto de </w:t>
                            </w:r>
                            <w:r w:rsidRPr="00643B1C">
                              <w:t>2019</w:t>
                            </w:r>
                          </w:p>
                          <w:p w14:paraId="55DF6BA1" w14:textId="77777777" w:rsidR="00351EB8" w:rsidRDefault="00351EB8" w:rsidP="00345E4C">
                            <w:pPr>
                              <w:jc w:val="center"/>
                              <w:rPr>
                                <w:rFonts w:ascii="Arial" w:hAnsi="Arial" w:cs="Arial"/>
                                <w:b/>
                              </w:rPr>
                            </w:pPr>
                          </w:p>
                          <w:p w14:paraId="7730E2D7" w14:textId="77777777" w:rsidR="00351EB8" w:rsidRPr="00E62991" w:rsidRDefault="00351EB8" w:rsidP="00345E4C">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CAC6F" id="_x0000_t202" coordsize="21600,21600" o:spt="202" path="m,l,21600r21600,l21600,xe">
                <v:stroke joinstyle="miter"/>
                <v:path gradientshapeok="t" o:connecttype="rect"/>
              </v:shapetype>
              <v:shape id="Caixa de Texto 12" o:spid="_x0000_s1026" type="#_x0000_t202" style="position:absolute;left:0;text-align:left;margin-left:22.35pt;margin-top:11.25pt;width:441.75pt;height: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" filled="f" fillcolor="white [3212]" stroked="f" strokecolor="white [3212]">
                <v:textbox>
                  <w:txbxContent>
                    <w:p w14:paraId="7707D3C1" w14:textId="77777777" w:rsidR="00351EB8" w:rsidRDefault="00351EB8" w:rsidP="00345E4C">
                      <w:pPr>
                        <w:jc w:val="center"/>
                        <w:rPr>
                          <w:rFonts w:ascii="Arial" w:hAnsi="Arial" w:cs="Arial"/>
                        </w:rPr>
                      </w:pPr>
                    </w:p>
                    <w:p w14:paraId="02539C16" w14:textId="77777777" w:rsidR="00351EB8" w:rsidRPr="00E62991" w:rsidRDefault="00351EB8" w:rsidP="00345E4C">
                      <w:pPr>
                        <w:jc w:val="center"/>
                        <w:rPr>
                          <w:rFonts w:ascii="Arial" w:hAnsi="Arial" w:cs="Arial"/>
                        </w:rPr>
                      </w:pPr>
                    </w:p>
                    <w:p w14:paraId="5C97ACF7" w14:textId="77777777" w:rsidR="00351EB8" w:rsidRDefault="00351EB8" w:rsidP="00345E4C">
                      <w:pPr>
                        <w:jc w:val="center"/>
                        <w:rPr>
                          <w:rFonts w:ascii="Arial" w:hAnsi="Arial" w:cs="Arial"/>
                          <w:b/>
                          <w:sz w:val="36"/>
                          <w:szCs w:val="36"/>
                        </w:rPr>
                      </w:pPr>
                    </w:p>
                    <w:p w14:paraId="41D369AE" w14:textId="77777777" w:rsidR="00351EB8" w:rsidRDefault="00351EB8" w:rsidP="00345E4C">
                      <w:pPr>
                        <w:jc w:val="center"/>
                        <w:rPr>
                          <w:rFonts w:ascii="Arial" w:hAnsi="Arial" w:cs="Arial"/>
                          <w:b/>
                          <w:sz w:val="36"/>
                          <w:szCs w:val="36"/>
                        </w:rPr>
                      </w:pPr>
                    </w:p>
                    <w:p w14:paraId="668A22E8" w14:textId="77777777" w:rsidR="00351EB8" w:rsidRPr="00643B1C" w:rsidRDefault="00351EB8" w:rsidP="00345E4C">
                      <w:pPr>
                        <w:jc w:val="center"/>
                        <w:rPr>
                          <w:sz w:val="36"/>
                          <w:szCs w:val="36"/>
                        </w:rPr>
                      </w:pPr>
                    </w:p>
                    <w:p w14:paraId="17C33B7B" w14:textId="2D7B76E2" w:rsidR="00351EB8" w:rsidRPr="00643B1C" w:rsidRDefault="00351EB8" w:rsidP="00345E4C">
                      <w:pPr>
                        <w:jc w:val="center"/>
                        <w:rPr>
                          <w:caps/>
                        </w:rPr>
                      </w:pPr>
                      <w:r w:rsidRPr="00643B1C">
                        <w:rPr>
                          <w:caps/>
                        </w:rPr>
                        <w:t>O relacionamento entre Resultado do Tesouro Nacional, Estatísticas Fiscais Trimestrais do Governo Geral e o Boletim de Finanças dos Entes Subnacionais: uma análise exploratória sobre o gasto com pessoal, com previdência e com investimento</w:t>
                      </w:r>
                    </w:p>
                    <w:p w14:paraId="37CD9069" w14:textId="77777777" w:rsidR="00351EB8" w:rsidRPr="00643B1C" w:rsidRDefault="00351EB8" w:rsidP="00345E4C">
                      <w:pPr>
                        <w:jc w:val="center"/>
                        <w:rPr>
                          <w:b/>
                        </w:rPr>
                      </w:pPr>
                    </w:p>
                    <w:p w14:paraId="6429E4DC" w14:textId="77777777" w:rsidR="00351EB8" w:rsidRPr="00643B1C" w:rsidRDefault="00351EB8" w:rsidP="00345E4C">
                      <w:pPr>
                        <w:jc w:val="center"/>
                        <w:rPr>
                          <w:b/>
                        </w:rPr>
                      </w:pPr>
                    </w:p>
                    <w:p w14:paraId="4FCC1CB8" w14:textId="77777777" w:rsidR="00351EB8" w:rsidRDefault="00351EB8" w:rsidP="004960B8">
                      <w:pPr>
                        <w:jc w:val="center"/>
                        <w:rPr>
                          <w:b/>
                        </w:rPr>
                      </w:pPr>
                    </w:p>
                    <w:p w14:paraId="35F1760E" w14:textId="77777777" w:rsidR="00351EB8" w:rsidRDefault="00351EB8" w:rsidP="004960B8">
                      <w:pPr>
                        <w:jc w:val="center"/>
                        <w:rPr>
                          <w:b/>
                        </w:rPr>
                      </w:pPr>
                    </w:p>
                    <w:p w14:paraId="506BE3B3" w14:textId="03965E1D" w:rsidR="00351EB8" w:rsidRDefault="00351EB8" w:rsidP="004960B8">
                      <w:pPr>
                        <w:jc w:val="center"/>
                        <w:rPr>
                          <w:b/>
                        </w:rPr>
                      </w:pPr>
                    </w:p>
                    <w:p w14:paraId="3AA541E5" w14:textId="70DDD358" w:rsidR="00351EB8" w:rsidRDefault="00351EB8" w:rsidP="004960B8">
                      <w:pPr>
                        <w:jc w:val="center"/>
                        <w:rPr>
                          <w:b/>
                        </w:rPr>
                      </w:pPr>
                    </w:p>
                    <w:p w14:paraId="0901B90E" w14:textId="77777777" w:rsidR="00351EB8" w:rsidRDefault="00351EB8" w:rsidP="004960B8">
                      <w:pPr>
                        <w:jc w:val="center"/>
                        <w:rPr>
                          <w:b/>
                        </w:rPr>
                      </w:pPr>
                    </w:p>
                    <w:p w14:paraId="05F87B7A" w14:textId="77777777" w:rsidR="00351EB8" w:rsidRDefault="00351EB8" w:rsidP="004960B8">
                      <w:pPr>
                        <w:jc w:val="center"/>
                        <w:rPr>
                          <w:b/>
                        </w:rPr>
                      </w:pPr>
                    </w:p>
                    <w:p w14:paraId="72EB62B9" w14:textId="560B2E35" w:rsidR="00351EB8" w:rsidRPr="00643B1C" w:rsidRDefault="00351EB8" w:rsidP="004960B8">
                      <w:pPr>
                        <w:jc w:val="center"/>
                        <w:rPr>
                          <w:caps/>
                        </w:rPr>
                      </w:pPr>
                      <w:r w:rsidRPr="00643B1C">
                        <w:rPr>
                          <w:caps/>
                        </w:rPr>
                        <w:t>Jordão Mota Gonçalves</w:t>
                      </w:r>
                    </w:p>
                    <w:p w14:paraId="7668F75F" w14:textId="77777777" w:rsidR="00351EB8" w:rsidRPr="00643B1C" w:rsidRDefault="00351EB8" w:rsidP="00345E4C">
                      <w:pPr>
                        <w:jc w:val="center"/>
                        <w:rPr>
                          <w:b/>
                        </w:rPr>
                      </w:pPr>
                    </w:p>
                    <w:p w14:paraId="33E6E67B" w14:textId="77777777" w:rsidR="00351EB8" w:rsidRPr="00643B1C" w:rsidRDefault="00351EB8" w:rsidP="00345E4C">
                      <w:pPr>
                        <w:jc w:val="center"/>
                        <w:rPr>
                          <w:b/>
                        </w:rPr>
                      </w:pPr>
                    </w:p>
                    <w:p w14:paraId="3C24D6F9" w14:textId="77777777" w:rsidR="00351EB8" w:rsidRPr="00643B1C" w:rsidRDefault="00351EB8" w:rsidP="00345E4C"/>
                    <w:p w14:paraId="583F482F" w14:textId="52126804" w:rsidR="00351EB8" w:rsidRDefault="00351EB8" w:rsidP="00345E4C">
                      <w:pPr>
                        <w:jc w:val="center"/>
                        <w:rPr>
                          <w:b/>
                        </w:rPr>
                      </w:pPr>
                    </w:p>
                    <w:p w14:paraId="7D1DDB35" w14:textId="7D6F7690" w:rsidR="00351EB8" w:rsidRDefault="00351EB8" w:rsidP="00345E4C">
                      <w:pPr>
                        <w:jc w:val="center"/>
                        <w:rPr>
                          <w:b/>
                        </w:rPr>
                      </w:pPr>
                    </w:p>
                    <w:p w14:paraId="38246B53" w14:textId="6836101D" w:rsidR="00351EB8" w:rsidRDefault="00351EB8" w:rsidP="00345E4C">
                      <w:pPr>
                        <w:jc w:val="center"/>
                        <w:rPr>
                          <w:b/>
                        </w:rPr>
                      </w:pPr>
                    </w:p>
                    <w:p w14:paraId="7D1514E1" w14:textId="2CCEEE9B" w:rsidR="00351EB8" w:rsidRDefault="00351EB8" w:rsidP="00345E4C">
                      <w:pPr>
                        <w:jc w:val="center"/>
                        <w:rPr>
                          <w:b/>
                        </w:rPr>
                      </w:pPr>
                    </w:p>
                    <w:p w14:paraId="19A47552" w14:textId="77777777" w:rsidR="00351EB8" w:rsidRPr="00643B1C" w:rsidRDefault="00351EB8" w:rsidP="00345E4C">
                      <w:pPr>
                        <w:jc w:val="center"/>
                        <w:rPr>
                          <w:b/>
                        </w:rPr>
                      </w:pPr>
                    </w:p>
                    <w:p w14:paraId="0EC10978" w14:textId="0852725D" w:rsidR="00351EB8" w:rsidRPr="00643B1C" w:rsidRDefault="00351EB8" w:rsidP="00345E4C">
                      <w:pPr>
                        <w:jc w:val="center"/>
                        <w:rPr>
                          <w:caps/>
                        </w:rPr>
                      </w:pPr>
                      <w:r w:rsidRPr="00643B1C">
                        <w:rPr>
                          <w:caps/>
                        </w:rPr>
                        <w:t>Brasília</w:t>
                      </w:r>
                    </w:p>
                    <w:p w14:paraId="1E9504A2" w14:textId="030F3F36" w:rsidR="00351EB8" w:rsidRPr="00643B1C" w:rsidRDefault="00351EB8" w:rsidP="00345E4C">
                      <w:pPr>
                        <w:jc w:val="center"/>
                      </w:pPr>
                      <w:r>
                        <w:t xml:space="preserve">Agosto de </w:t>
                      </w:r>
                      <w:r w:rsidRPr="00643B1C">
                        <w:t>2019</w:t>
                      </w:r>
                    </w:p>
                    <w:p w14:paraId="55DF6BA1" w14:textId="77777777" w:rsidR="00351EB8" w:rsidRDefault="00351EB8" w:rsidP="00345E4C">
                      <w:pPr>
                        <w:jc w:val="center"/>
                        <w:rPr>
                          <w:rFonts w:ascii="Arial" w:hAnsi="Arial" w:cs="Arial"/>
                          <w:b/>
                        </w:rPr>
                      </w:pPr>
                    </w:p>
                    <w:p w14:paraId="7730E2D7" w14:textId="77777777" w:rsidR="00351EB8" w:rsidRPr="00E62991" w:rsidRDefault="00351EB8" w:rsidP="00345E4C">
                      <w:pPr>
                        <w:jc w:val="center"/>
                        <w:rPr>
                          <w:rFonts w:ascii="Arial" w:hAnsi="Arial" w:cs="Arial"/>
                          <w:b/>
                        </w:rPr>
                      </w:pPr>
                    </w:p>
                  </w:txbxContent>
                </v:textbox>
                <w10:anchorlock/>
              </v:shape>
            </w:pict>
          </mc:Fallback>
        </mc:AlternateContent>
      </w:r>
      <w:r w:rsidR="003714B2">
        <w:br w:type="page"/>
      </w:r>
      <w:r w:rsidR="0010069E" w:rsidRPr="00643B1C">
        <w:rPr>
          <w:caps/>
        </w:rPr>
        <w:lastRenderedPageBreak/>
        <w:t>O relacionamento entre Resultado do Tesouro Nacional, Estatísticas Fiscais Trimestrais do Governo Geral e o Boletim de Finanças dos Entes Subnacionais: uma análise exploratória sobre o gasto com pessoal, com previdência e com investimento</w:t>
      </w:r>
    </w:p>
    <w:p w14:paraId="115E7018" w14:textId="55C0CB9B" w:rsidR="00C327CD" w:rsidRPr="00CE4105" w:rsidRDefault="00C327CD" w:rsidP="0010069E">
      <w:pPr>
        <w:jc w:val="center"/>
        <w:rPr>
          <w:color w:val="000000"/>
          <w:lang w:eastAsia="ar-SA"/>
        </w:rPr>
      </w:pPr>
    </w:p>
    <w:p w14:paraId="6EFF099B" w14:textId="77777777" w:rsidR="00C327CD" w:rsidRPr="00CE4105" w:rsidRDefault="00C327CD" w:rsidP="00C327CD">
      <w:pPr>
        <w:jc w:val="center"/>
        <w:rPr>
          <w:color w:val="000000"/>
        </w:rPr>
      </w:pPr>
    </w:p>
    <w:p w14:paraId="492064B0" w14:textId="77777777" w:rsidR="00C327CD" w:rsidRPr="00CE4105" w:rsidRDefault="00C327CD" w:rsidP="00C327CD">
      <w:pPr>
        <w:jc w:val="center"/>
        <w:rPr>
          <w:color w:val="000000"/>
        </w:rPr>
      </w:pPr>
    </w:p>
    <w:p w14:paraId="7AC384A2" w14:textId="77777777" w:rsidR="00C327CD" w:rsidRPr="00CE4105" w:rsidRDefault="00C327CD" w:rsidP="00C327CD">
      <w:pPr>
        <w:jc w:val="center"/>
        <w:rPr>
          <w:color w:val="000000"/>
        </w:rPr>
      </w:pPr>
    </w:p>
    <w:p w14:paraId="7FA75434" w14:textId="77777777" w:rsidR="0010069E" w:rsidRPr="00643B1C" w:rsidRDefault="0010069E" w:rsidP="0010069E">
      <w:pPr>
        <w:jc w:val="center"/>
        <w:rPr>
          <w:caps/>
        </w:rPr>
      </w:pPr>
      <w:r w:rsidRPr="00643B1C">
        <w:rPr>
          <w:caps/>
        </w:rPr>
        <w:t>Jordão Mota Gonçalves</w:t>
      </w:r>
    </w:p>
    <w:p w14:paraId="35F55276" w14:textId="4C23070A" w:rsidR="00C327CD" w:rsidRPr="00CE4105" w:rsidRDefault="00C327CD" w:rsidP="00C327CD">
      <w:pPr>
        <w:pStyle w:val="Estilo"/>
        <w:spacing w:before="1473"/>
        <w:ind w:left="3720"/>
        <w:jc w:val="both"/>
        <w:rPr>
          <w:color w:val="000000"/>
          <w:lang w:val="pt-BR" w:eastAsia="he-IL" w:bidi="he-IL"/>
        </w:rPr>
      </w:pPr>
      <w:r>
        <w:rPr>
          <w:color w:val="000000"/>
          <w:lang w:val="pt-BR" w:eastAsia="he-IL" w:bidi="he-IL"/>
        </w:rPr>
        <w:t>Monografia apresentada à Escola Nacional de Administração Pública como exigência à conclusão do Curso de Pós</w:t>
      </w:r>
      <w:r w:rsidR="00194332">
        <w:rPr>
          <w:color w:val="000000"/>
          <w:lang w:val="pt-BR" w:eastAsia="he-IL" w:bidi="he-IL"/>
        </w:rPr>
        <w:t>-</w:t>
      </w:r>
      <w:r>
        <w:rPr>
          <w:color w:val="000000"/>
          <w:lang w:val="pt-BR" w:eastAsia="he-IL" w:bidi="he-IL"/>
        </w:rPr>
        <w:t xml:space="preserve">Graduação </w:t>
      </w:r>
      <w:r>
        <w:rPr>
          <w:i/>
          <w:color w:val="000000"/>
          <w:lang w:val="pt-BR" w:eastAsia="he-IL" w:bidi="he-IL"/>
        </w:rPr>
        <w:t xml:space="preserve">Lato Sensu </w:t>
      </w:r>
      <w:r>
        <w:rPr>
          <w:color w:val="000000"/>
          <w:lang w:val="pt-BR" w:eastAsia="he-IL" w:bidi="he-IL"/>
        </w:rPr>
        <w:t>em Finanças Públicas</w:t>
      </w:r>
    </w:p>
    <w:p w14:paraId="1F693FC0" w14:textId="5A930501" w:rsidR="00C327CD" w:rsidRPr="00CE4105" w:rsidRDefault="00C327CD" w:rsidP="00C327CD">
      <w:pPr>
        <w:pStyle w:val="Estilo"/>
        <w:tabs>
          <w:tab w:val="left" w:pos="8505"/>
        </w:tabs>
        <w:spacing w:before="393" w:line="249" w:lineRule="exact"/>
        <w:ind w:left="3720"/>
        <w:rPr>
          <w:color w:val="000000"/>
          <w:lang w:val="pt-BR" w:eastAsia="he-IL" w:bidi="he-IL"/>
        </w:rPr>
      </w:pPr>
      <w:r w:rsidRPr="00CE4105">
        <w:rPr>
          <w:color w:val="000000"/>
          <w:lang w:val="pt-BR" w:eastAsia="he-IL" w:bidi="he-IL"/>
        </w:rPr>
        <w:t xml:space="preserve">Orientador: Prof. Dr. </w:t>
      </w:r>
      <w:r w:rsidR="0010069E">
        <w:rPr>
          <w:color w:val="000000"/>
          <w:lang w:val="pt-BR" w:eastAsia="he-IL" w:bidi="he-IL"/>
        </w:rPr>
        <w:t>Fernando</w:t>
      </w:r>
      <w:r w:rsidR="00BC617A">
        <w:rPr>
          <w:color w:val="000000"/>
          <w:lang w:val="pt-BR" w:eastAsia="he-IL" w:bidi="he-IL"/>
        </w:rPr>
        <w:t xml:space="preserve"> Almeida Barbalho</w:t>
      </w:r>
    </w:p>
    <w:p w14:paraId="23BF7C26" w14:textId="77777777" w:rsidR="00C327CD" w:rsidRPr="00CE4105" w:rsidRDefault="00C327CD" w:rsidP="00C327CD">
      <w:pPr>
        <w:pStyle w:val="Estilo"/>
        <w:spacing w:before="393" w:line="249" w:lineRule="exact"/>
        <w:ind w:left="729" w:right="2569"/>
        <w:rPr>
          <w:color w:val="000000"/>
          <w:lang w:val="pt-BR" w:eastAsia="he-IL" w:bidi="he-IL"/>
        </w:rPr>
      </w:pPr>
    </w:p>
    <w:p w14:paraId="040A77A7" w14:textId="77777777" w:rsidR="00C327CD" w:rsidRPr="00CE4105" w:rsidRDefault="00C327CD" w:rsidP="00C327CD">
      <w:pPr>
        <w:pStyle w:val="Estilo"/>
        <w:spacing w:before="393" w:line="249" w:lineRule="exact"/>
        <w:ind w:left="729" w:right="2569"/>
        <w:rPr>
          <w:color w:val="000000"/>
          <w:lang w:val="pt-BR" w:eastAsia="he-IL" w:bidi="he-IL"/>
        </w:rPr>
      </w:pPr>
    </w:p>
    <w:p w14:paraId="209CFDD6" w14:textId="77777777" w:rsidR="00C327CD" w:rsidRPr="00CE4105" w:rsidRDefault="00C327CD" w:rsidP="00C327CD">
      <w:pPr>
        <w:pStyle w:val="Estilo"/>
        <w:spacing w:line="360" w:lineRule="auto"/>
        <w:ind w:left="255" w:right="-17"/>
        <w:jc w:val="center"/>
        <w:rPr>
          <w:color w:val="000000"/>
          <w:lang w:val="pt-BR" w:eastAsia="he-IL" w:bidi="he-IL"/>
        </w:rPr>
      </w:pPr>
    </w:p>
    <w:p w14:paraId="41C2CF1D" w14:textId="77777777" w:rsidR="00C327CD" w:rsidRDefault="00C327CD" w:rsidP="00C327CD">
      <w:pPr>
        <w:pStyle w:val="Estilo"/>
        <w:spacing w:line="360" w:lineRule="auto"/>
        <w:ind w:left="255" w:right="-17"/>
        <w:jc w:val="center"/>
        <w:rPr>
          <w:color w:val="000000"/>
          <w:lang w:val="pt-BR" w:eastAsia="he-IL" w:bidi="he-IL"/>
        </w:rPr>
      </w:pPr>
    </w:p>
    <w:p w14:paraId="6990533D" w14:textId="77777777" w:rsidR="00C327CD" w:rsidRDefault="00C327CD" w:rsidP="00C327CD">
      <w:pPr>
        <w:pStyle w:val="Estilo"/>
        <w:spacing w:line="360" w:lineRule="auto"/>
        <w:ind w:left="255" w:right="-17"/>
        <w:jc w:val="center"/>
        <w:rPr>
          <w:color w:val="000000"/>
          <w:lang w:val="pt-BR" w:eastAsia="he-IL" w:bidi="he-IL"/>
        </w:rPr>
      </w:pPr>
    </w:p>
    <w:p w14:paraId="60D644D8" w14:textId="77777777" w:rsidR="00C327CD" w:rsidRDefault="00C327CD" w:rsidP="00C327CD">
      <w:pPr>
        <w:pStyle w:val="Estilo"/>
        <w:spacing w:line="360" w:lineRule="auto"/>
        <w:ind w:left="255" w:right="-17"/>
        <w:jc w:val="center"/>
        <w:rPr>
          <w:color w:val="000000"/>
          <w:lang w:val="pt-BR" w:eastAsia="he-IL" w:bidi="he-IL"/>
        </w:rPr>
      </w:pPr>
    </w:p>
    <w:p w14:paraId="171BEBB6" w14:textId="77777777" w:rsidR="00C327CD" w:rsidRDefault="00C327CD" w:rsidP="00C327CD">
      <w:pPr>
        <w:pStyle w:val="Estilo"/>
        <w:spacing w:line="360" w:lineRule="auto"/>
        <w:ind w:left="255" w:right="-17"/>
        <w:jc w:val="center"/>
        <w:rPr>
          <w:color w:val="000000"/>
          <w:lang w:val="pt-BR" w:eastAsia="he-IL" w:bidi="he-IL"/>
        </w:rPr>
      </w:pPr>
    </w:p>
    <w:p w14:paraId="252E6568" w14:textId="77777777" w:rsidR="00C327CD" w:rsidRPr="00CE4105" w:rsidRDefault="00C327CD" w:rsidP="00C327CD">
      <w:pPr>
        <w:pStyle w:val="Estilo"/>
        <w:spacing w:line="360" w:lineRule="auto"/>
        <w:ind w:left="255" w:right="-17"/>
        <w:jc w:val="center"/>
        <w:rPr>
          <w:color w:val="000000"/>
          <w:lang w:val="pt-BR" w:eastAsia="he-IL" w:bidi="he-IL"/>
        </w:rPr>
      </w:pPr>
    </w:p>
    <w:p w14:paraId="7FF51AC6" w14:textId="77777777" w:rsidR="00C327CD" w:rsidRPr="00CE4105" w:rsidRDefault="00C327CD" w:rsidP="00C327CD">
      <w:pPr>
        <w:pStyle w:val="Estilo"/>
        <w:spacing w:line="360" w:lineRule="auto"/>
        <w:ind w:right="-17"/>
        <w:rPr>
          <w:color w:val="000000"/>
          <w:lang w:val="pt-BR" w:eastAsia="he-IL" w:bidi="he-IL"/>
        </w:rPr>
      </w:pPr>
    </w:p>
    <w:p w14:paraId="79110F85" w14:textId="77777777" w:rsidR="00C327CD" w:rsidRPr="00CE4105" w:rsidRDefault="00C327CD" w:rsidP="00C327CD">
      <w:pPr>
        <w:pStyle w:val="Estilo"/>
        <w:spacing w:line="360" w:lineRule="auto"/>
        <w:ind w:right="-17"/>
        <w:rPr>
          <w:color w:val="000000"/>
          <w:lang w:val="pt-BR" w:eastAsia="he-IL" w:bidi="he-IL"/>
        </w:rPr>
      </w:pPr>
    </w:p>
    <w:p w14:paraId="1E8D493F" w14:textId="77777777" w:rsidR="00C327CD" w:rsidRPr="00CE4105" w:rsidRDefault="00C327CD" w:rsidP="00C327CD">
      <w:pPr>
        <w:pStyle w:val="Estilo"/>
        <w:spacing w:line="360" w:lineRule="auto"/>
        <w:ind w:left="255" w:right="-17"/>
        <w:jc w:val="center"/>
        <w:rPr>
          <w:color w:val="000000"/>
          <w:lang w:val="pt-BR" w:eastAsia="he-IL" w:bidi="he-IL"/>
        </w:rPr>
      </w:pPr>
      <w:r>
        <w:rPr>
          <w:color w:val="000000"/>
          <w:lang w:val="pt-BR" w:eastAsia="he-IL" w:bidi="he-IL"/>
        </w:rPr>
        <w:t>Brasília</w:t>
      </w:r>
    </w:p>
    <w:p w14:paraId="2D3FA6F7" w14:textId="532B3B79" w:rsidR="00C327CD" w:rsidRPr="00CE4105" w:rsidRDefault="00BC617A" w:rsidP="00C327CD">
      <w:pPr>
        <w:pStyle w:val="Estilo"/>
        <w:spacing w:line="360" w:lineRule="auto"/>
        <w:ind w:left="255" w:right="-17"/>
        <w:jc w:val="center"/>
        <w:rPr>
          <w:color w:val="000000"/>
          <w:lang w:val="pt-BR" w:eastAsia="he-IL" w:bidi="he-IL"/>
        </w:rPr>
      </w:pPr>
      <w:r>
        <w:rPr>
          <w:color w:val="000000"/>
          <w:lang w:val="pt-BR" w:eastAsia="he-IL" w:bidi="he-IL"/>
        </w:rPr>
        <w:t>Agosto</w:t>
      </w:r>
      <w:r w:rsidR="00C327CD">
        <w:rPr>
          <w:color w:val="000000"/>
          <w:lang w:val="pt-BR" w:eastAsia="he-IL" w:bidi="he-IL"/>
        </w:rPr>
        <w:t xml:space="preserve"> de 2019</w:t>
      </w:r>
    </w:p>
    <w:p w14:paraId="7DF52A98" w14:textId="77777777" w:rsidR="00C327CD" w:rsidRPr="00CE4105" w:rsidRDefault="00C327CD" w:rsidP="00C327CD">
      <w:pPr>
        <w:ind w:firstLine="3062"/>
        <w:jc w:val="center"/>
        <w:rPr>
          <w:color w:val="000000"/>
          <w:lang w:eastAsia="ar-SA"/>
        </w:rPr>
      </w:pPr>
    </w:p>
    <w:p w14:paraId="416FF364" w14:textId="77777777" w:rsidR="00C327CD" w:rsidRDefault="00C327CD" w:rsidP="00C327CD">
      <w:pPr>
        <w:rPr>
          <w:b/>
        </w:rPr>
      </w:pPr>
      <w:r>
        <w:rPr>
          <w:b/>
        </w:rPr>
        <w:br w:type="page"/>
      </w:r>
    </w:p>
    <w:p w14:paraId="1D6018FD" w14:textId="3F9B2CC2" w:rsidR="00C327CD" w:rsidRPr="00CE4105" w:rsidRDefault="00BC617A" w:rsidP="00C327CD">
      <w:pPr>
        <w:rPr>
          <w:color w:val="000000"/>
          <w:lang w:eastAsia="ar-SA"/>
        </w:rPr>
      </w:pPr>
      <w:bookmarkStart w:id="1" w:name="_Hlk15892472"/>
      <w:r w:rsidRPr="00643B1C">
        <w:rPr>
          <w:caps/>
        </w:rPr>
        <w:lastRenderedPageBreak/>
        <w:t>O relacionamento entre Resultado do Tesouro Nacional, Estatísticas Fiscais Trimestrais do Governo Geral e o Boletim de Finanças dos Entes Subnacionais: uma análise exploratória sobre o gasto com pessoal, com previdência e com investimento</w:t>
      </w:r>
    </w:p>
    <w:bookmarkEnd w:id="1"/>
    <w:p w14:paraId="0AAB6DAB" w14:textId="77777777" w:rsidR="00C327CD" w:rsidRPr="00CE4105" w:rsidRDefault="00C327CD" w:rsidP="00C327CD">
      <w:pPr>
        <w:jc w:val="center"/>
        <w:rPr>
          <w:color w:val="000000"/>
        </w:rPr>
      </w:pPr>
    </w:p>
    <w:p w14:paraId="6D9ADEBC" w14:textId="77777777" w:rsidR="00C327CD" w:rsidRPr="00CE4105" w:rsidRDefault="00C327CD" w:rsidP="00C327CD">
      <w:pPr>
        <w:jc w:val="center"/>
        <w:rPr>
          <w:color w:val="000000"/>
        </w:rPr>
      </w:pPr>
    </w:p>
    <w:p w14:paraId="695FB32D" w14:textId="77777777" w:rsidR="00C327CD" w:rsidRPr="00CE4105" w:rsidRDefault="00C327CD" w:rsidP="00C327CD">
      <w:pPr>
        <w:jc w:val="center"/>
        <w:rPr>
          <w:color w:val="000000"/>
        </w:rPr>
      </w:pPr>
    </w:p>
    <w:p w14:paraId="2869AC7E" w14:textId="77777777" w:rsidR="00BC617A" w:rsidRPr="00643B1C" w:rsidRDefault="00BC617A" w:rsidP="00BC617A">
      <w:pPr>
        <w:jc w:val="center"/>
        <w:rPr>
          <w:caps/>
        </w:rPr>
      </w:pPr>
      <w:r w:rsidRPr="00643B1C">
        <w:rPr>
          <w:caps/>
        </w:rPr>
        <w:t>Jordão Mota Gonçalves</w:t>
      </w:r>
    </w:p>
    <w:p w14:paraId="4F034CF2" w14:textId="6EF45395" w:rsidR="00C327CD" w:rsidRPr="00CE4105" w:rsidRDefault="00C327CD" w:rsidP="00C327CD">
      <w:pPr>
        <w:pStyle w:val="Estilo"/>
        <w:spacing w:before="1473"/>
        <w:ind w:left="3720"/>
        <w:jc w:val="both"/>
        <w:rPr>
          <w:color w:val="000000"/>
          <w:lang w:val="pt-BR" w:eastAsia="he-IL" w:bidi="he-IL"/>
        </w:rPr>
      </w:pPr>
      <w:r>
        <w:rPr>
          <w:color w:val="000000"/>
          <w:lang w:val="pt-BR" w:eastAsia="he-IL" w:bidi="he-IL"/>
        </w:rPr>
        <w:t>Monografia apresentada à Escola Nacional de Administração Pública como exigência à conclusão do Curso de Pós</w:t>
      </w:r>
      <w:r w:rsidR="00194332">
        <w:rPr>
          <w:color w:val="000000"/>
          <w:lang w:val="pt-BR" w:eastAsia="he-IL" w:bidi="he-IL"/>
        </w:rPr>
        <w:t>-</w:t>
      </w:r>
      <w:r>
        <w:rPr>
          <w:color w:val="000000"/>
          <w:lang w:val="pt-BR" w:eastAsia="he-IL" w:bidi="he-IL"/>
        </w:rPr>
        <w:t xml:space="preserve">Graduação </w:t>
      </w:r>
      <w:r>
        <w:rPr>
          <w:i/>
          <w:color w:val="000000"/>
          <w:lang w:val="pt-BR" w:eastAsia="he-IL" w:bidi="he-IL"/>
        </w:rPr>
        <w:t xml:space="preserve">Lato Sensu </w:t>
      </w:r>
      <w:r>
        <w:rPr>
          <w:color w:val="000000"/>
          <w:lang w:val="pt-BR" w:eastAsia="he-IL" w:bidi="he-IL"/>
        </w:rPr>
        <w:t>em Finanças Públicas</w:t>
      </w:r>
    </w:p>
    <w:p w14:paraId="432F5BEA" w14:textId="77777777" w:rsidR="00BC617A" w:rsidRPr="00CE4105" w:rsidRDefault="00BC617A" w:rsidP="00BC617A">
      <w:pPr>
        <w:pStyle w:val="Estilo"/>
        <w:tabs>
          <w:tab w:val="left" w:pos="8505"/>
        </w:tabs>
        <w:spacing w:before="393" w:line="249" w:lineRule="exact"/>
        <w:ind w:left="3720"/>
        <w:rPr>
          <w:color w:val="000000"/>
          <w:lang w:val="pt-BR" w:eastAsia="he-IL" w:bidi="he-IL"/>
        </w:rPr>
      </w:pPr>
      <w:r w:rsidRPr="00CE4105">
        <w:rPr>
          <w:color w:val="000000"/>
          <w:lang w:val="pt-BR" w:eastAsia="he-IL" w:bidi="he-IL"/>
        </w:rPr>
        <w:t xml:space="preserve">Orientador: Prof. Dr. </w:t>
      </w:r>
      <w:r>
        <w:rPr>
          <w:color w:val="000000"/>
          <w:lang w:val="pt-BR" w:eastAsia="he-IL" w:bidi="he-IL"/>
        </w:rPr>
        <w:t>Fernando Almeida Barbalho</w:t>
      </w:r>
    </w:p>
    <w:p w14:paraId="75ED5128" w14:textId="77777777" w:rsidR="00C327CD" w:rsidRDefault="00C327CD" w:rsidP="00C327CD">
      <w:pPr>
        <w:pStyle w:val="Estilo"/>
        <w:spacing w:line="360" w:lineRule="auto"/>
        <w:ind w:left="255" w:right="-17"/>
        <w:jc w:val="center"/>
        <w:rPr>
          <w:color w:val="000000"/>
          <w:lang w:val="pt-BR" w:eastAsia="he-IL" w:bidi="he-IL"/>
        </w:rPr>
      </w:pPr>
    </w:p>
    <w:p w14:paraId="2C4F6DFC" w14:textId="77777777" w:rsidR="00C327CD" w:rsidRDefault="00C327CD" w:rsidP="00C327CD">
      <w:pPr>
        <w:pStyle w:val="Estilo"/>
        <w:spacing w:line="360" w:lineRule="auto"/>
        <w:ind w:left="255" w:right="-17"/>
        <w:jc w:val="center"/>
        <w:rPr>
          <w:color w:val="000000"/>
          <w:lang w:val="pt-BR" w:eastAsia="he-IL" w:bidi="he-IL"/>
        </w:rPr>
      </w:pPr>
    </w:p>
    <w:p w14:paraId="7E3B1929" w14:textId="77777777" w:rsidR="00C327CD" w:rsidRDefault="00C327CD" w:rsidP="00C327CD">
      <w:pPr>
        <w:pStyle w:val="Estilo"/>
        <w:spacing w:line="360" w:lineRule="auto"/>
        <w:ind w:left="255" w:right="-17"/>
        <w:rPr>
          <w:color w:val="000000"/>
          <w:lang w:val="pt-BR" w:eastAsia="he-IL" w:bidi="he-IL"/>
        </w:rPr>
      </w:pPr>
      <w:r>
        <w:rPr>
          <w:color w:val="000000"/>
          <w:lang w:val="pt-BR" w:eastAsia="he-IL" w:bidi="he-IL"/>
        </w:rPr>
        <w:t>Aprovado em ___/___/___</w:t>
      </w:r>
    </w:p>
    <w:p w14:paraId="3C413813" w14:textId="77777777" w:rsidR="00C327CD" w:rsidRDefault="00C327CD" w:rsidP="00C327CD">
      <w:pPr>
        <w:pStyle w:val="Estilo"/>
        <w:spacing w:line="360" w:lineRule="auto"/>
        <w:ind w:left="255" w:right="-17"/>
        <w:jc w:val="center"/>
        <w:rPr>
          <w:color w:val="000000"/>
          <w:lang w:val="pt-BR" w:eastAsia="he-IL" w:bidi="he-IL"/>
        </w:rPr>
      </w:pPr>
    </w:p>
    <w:p w14:paraId="2D11063F" w14:textId="77777777" w:rsidR="00C327CD" w:rsidRDefault="00C327CD" w:rsidP="00C327CD">
      <w:pPr>
        <w:pStyle w:val="Estilo"/>
        <w:spacing w:line="360" w:lineRule="auto"/>
        <w:ind w:left="255" w:right="-17"/>
        <w:jc w:val="center"/>
        <w:rPr>
          <w:color w:val="000000"/>
          <w:lang w:val="pt-BR" w:eastAsia="he-IL" w:bidi="he-IL"/>
        </w:rPr>
      </w:pPr>
    </w:p>
    <w:p w14:paraId="01297476" w14:textId="77777777" w:rsidR="00C327CD" w:rsidRDefault="00C327CD" w:rsidP="00C327CD">
      <w:pPr>
        <w:pStyle w:val="Estilo"/>
        <w:spacing w:line="360" w:lineRule="auto"/>
        <w:ind w:left="255" w:right="-17"/>
        <w:jc w:val="center"/>
        <w:rPr>
          <w:color w:val="000000"/>
          <w:lang w:val="pt-BR" w:eastAsia="he-IL" w:bidi="he-IL"/>
        </w:rPr>
      </w:pPr>
    </w:p>
    <w:p w14:paraId="2E65709D" w14:textId="77777777" w:rsidR="00C327CD" w:rsidRDefault="00C327CD" w:rsidP="00C327CD">
      <w:pPr>
        <w:pStyle w:val="Estilo"/>
        <w:spacing w:line="360" w:lineRule="auto"/>
        <w:ind w:left="255" w:right="-17"/>
        <w:jc w:val="center"/>
        <w:rPr>
          <w:color w:val="000000"/>
          <w:lang w:val="pt-BR" w:eastAsia="he-IL" w:bidi="he-IL"/>
        </w:rPr>
      </w:pPr>
      <w:r>
        <w:rPr>
          <w:color w:val="000000"/>
          <w:lang w:val="pt-BR" w:eastAsia="he-IL" w:bidi="he-IL"/>
        </w:rPr>
        <w:t>Banca Examinadora</w:t>
      </w:r>
    </w:p>
    <w:p w14:paraId="049E1526" w14:textId="77777777" w:rsidR="00C327CD" w:rsidRDefault="00C327CD" w:rsidP="00C327CD">
      <w:pPr>
        <w:pStyle w:val="Estilo"/>
        <w:spacing w:line="360" w:lineRule="auto"/>
        <w:ind w:left="255" w:right="-17"/>
        <w:jc w:val="center"/>
        <w:rPr>
          <w:color w:val="000000"/>
          <w:lang w:val="pt-BR" w:eastAsia="he-IL" w:bidi="he-IL"/>
        </w:rPr>
      </w:pPr>
    </w:p>
    <w:p w14:paraId="3F9E172D" w14:textId="77777777" w:rsidR="00C327CD" w:rsidRDefault="00C327CD" w:rsidP="00C327CD">
      <w:pPr>
        <w:pStyle w:val="Estilo"/>
        <w:spacing w:line="360" w:lineRule="auto"/>
        <w:ind w:left="255" w:right="-17"/>
        <w:jc w:val="center"/>
        <w:rPr>
          <w:color w:val="000000"/>
          <w:lang w:val="pt-BR" w:eastAsia="he-IL" w:bidi="he-IL"/>
        </w:rPr>
      </w:pPr>
    </w:p>
    <w:p w14:paraId="2EEBFCAB" w14:textId="77777777" w:rsidR="00C327CD" w:rsidRDefault="00C327CD" w:rsidP="00C327CD">
      <w:pPr>
        <w:pStyle w:val="Estilo"/>
        <w:spacing w:line="360" w:lineRule="auto"/>
        <w:ind w:left="255" w:right="-17"/>
        <w:jc w:val="center"/>
        <w:rPr>
          <w:color w:val="000000"/>
          <w:lang w:val="pt-BR" w:eastAsia="he-IL" w:bidi="he-IL"/>
        </w:rPr>
      </w:pPr>
      <w:r>
        <w:rPr>
          <w:color w:val="000000"/>
          <w:lang w:val="pt-BR" w:eastAsia="he-IL" w:bidi="he-IL"/>
        </w:rPr>
        <w:t>______________________________________________</w:t>
      </w:r>
    </w:p>
    <w:p w14:paraId="2E48E9B7" w14:textId="77777777" w:rsidR="00C327CD" w:rsidRPr="00CE4105" w:rsidRDefault="00C327CD" w:rsidP="00C327CD">
      <w:pPr>
        <w:pStyle w:val="Estilo"/>
        <w:spacing w:line="360" w:lineRule="auto"/>
        <w:ind w:left="255" w:right="-17"/>
        <w:jc w:val="center"/>
        <w:rPr>
          <w:color w:val="000000"/>
          <w:lang w:val="pt-BR" w:eastAsia="he-IL" w:bidi="he-IL"/>
        </w:rPr>
      </w:pPr>
    </w:p>
    <w:p w14:paraId="3E3AD0CC" w14:textId="77777777" w:rsidR="00C327CD" w:rsidRPr="00CE4105" w:rsidRDefault="00C327CD" w:rsidP="00C327CD">
      <w:pPr>
        <w:pStyle w:val="Estilo"/>
        <w:spacing w:line="360" w:lineRule="auto"/>
        <w:ind w:right="-17"/>
        <w:rPr>
          <w:color w:val="000000"/>
          <w:lang w:val="pt-BR" w:eastAsia="he-IL" w:bidi="he-IL"/>
        </w:rPr>
      </w:pPr>
    </w:p>
    <w:p w14:paraId="7168E83D" w14:textId="77777777" w:rsidR="00C327CD" w:rsidRPr="00CE4105" w:rsidRDefault="00C327CD" w:rsidP="00C327CD">
      <w:pPr>
        <w:pStyle w:val="Estilo"/>
        <w:spacing w:line="360" w:lineRule="auto"/>
        <w:ind w:right="-17"/>
        <w:rPr>
          <w:color w:val="000000"/>
          <w:lang w:val="pt-BR" w:eastAsia="he-IL" w:bidi="he-IL"/>
        </w:rPr>
      </w:pPr>
    </w:p>
    <w:p w14:paraId="60A26CF6" w14:textId="77777777" w:rsidR="00C327CD" w:rsidRPr="00CE4105" w:rsidRDefault="00C327CD" w:rsidP="00C327CD">
      <w:pPr>
        <w:pStyle w:val="Estilo"/>
        <w:spacing w:line="360" w:lineRule="auto"/>
        <w:ind w:left="255" w:right="-17"/>
        <w:jc w:val="center"/>
        <w:rPr>
          <w:color w:val="000000"/>
          <w:lang w:val="pt-BR" w:eastAsia="he-IL" w:bidi="he-IL"/>
        </w:rPr>
      </w:pPr>
      <w:r>
        <w:rPr>
          <w:color w:val="000000"/>
          <w:lang w:val="pt-BR" w:eastAsia="he-IL" w:bidi="he-IL"/>
        </w:rPr>
        <w:t>Brasília</w:t>
      </w:r>
    </w:p>
    <w:p w14:paraId="523AFC7F" w14:textId="0C7AD830" w:rsidR="00C327CD" w:rsidRPr="00CE4105" w:rsidRDefault="00BC617A" w:rsidP="00C327CD">
      <w:pPr>
        <w:pStyle w:val="Estilo"/>
        <w:spacing w:line="360" w:lineRule="auto"/>
        <w:ind w:left="255" w:right="-17"/>
        <w:jc w:val="center"/>
        <w:rPr>
          <w:color w:val="000000"/>
          <w:lang w:val="pt-BR" w:eastAsia="he-IL" w:bidi="he-IL"/>
        </w:rPr>
      </w:pPr>
      <w:r>
        <w:rPr>
          <w:color w:val="000000"/>
          <w:lang w:val="pt-BR" w:eastAsia="he-IL" w:bidi="he-IL"/>
        </w:rPr>
        <w:t>Agosto</w:t>
      </w:r>
      <w:r w:rsidR="00C327CD">
        <w:rPr>
          <w:color w:val="000000"/>
          <w:lang w:val="pt-BR" w:eastAsia="he-IL" w:bidi="he-IL"/>
        </w:rPr>
        <w:t xml:space="preserve"> de 2019</w:t>
      </w:r>
    </w:p>
    <w:p w14:paraId="3BF579E4" w14:textId="77777777" w:rsidR="00C327CD" w:rsidRDefault="00C327CD" w:rsidP="00C327CD">
      <w:pPr>
        <w:spacing w:after="300"/>
        <w:rPr>
          <w:color w:val="000000"/>
          <w:lang w:eastAsia="he-IL" w:bidi="he-IL"/>
        </w:rPr>
      </w:pPr>
    </w:p>
    <w:p w14:paraId="26E38009" w14:textId="3BB962DC" w:rsidR="00B67C2B" w:rsidRDefault="00B67C2B" w:rsidP="00F83169">
      <w:pPr>
        <w:spacing w:after="160" w:line="259" w:lineRule="auto"/>
        <w:ind w:firstLine="0"/>
        <w:jc w:val="left"/>
        <w:rPr>
          <w:color w:val="000000"/>
        </w:rPr>
      </w:pPr>
    </w:p>
    <w:p w14:paraId="1F1988C6" w14:textId="77777777" w:rsidR="00B75598" w:rsidRDefault="003258D4" w:rsidP="00B75598">
      <w:pPr>
        <w:spacing w:after="300"/>
        <w:jc w:val="center"/>
        <w:rPr>
          <w:b/>
          <w:lang w:eastAsia="ar-SA"/>
        </w:rPr>
      </w:pPr>
      <w:r>
        <w:rPr>
          <w:b/>
        </w:rPr>
        <w:lastRenderedPageBreak/>
        <w:t>RESUMO</w:t>
      </w:r>
    </w:p>
    <w:p w14:paraId="043C0259" w14:textId="77777777" w:rsidR="00B75598" w:rsidRDefault="00B75598" w:rsidP="00B75598">
      <w:pPr>
        <w:spacing w:after="300"/>
        <w:jc w:val="center"/>
        <w:rPr>
          <w:b/>
          <w:lang w:eastAsia="ar-SA"/>
        </w:rPr>
      </w:pPr>
    </w:p>
    <w:p w14:paraId="11D88B89" w14:textId="15F8CF84" w:rsidR="003258D4" w:rsidRPr="00B75598" w:rsidRDefault="003258D4" w:rsidP="00E50B80">
      <w:pPr>
        <w:spacing w:after="300"/>
        <w:ind w:firstLine="0"/>
        <w:rPr>
          <w:b/>
          <w:lang w:eastAsia="ar-SA"/>
        </w:rPr>
      </w:pPr>
      <w:r>
        <w:rPr>
          <w:color w:val="000000"/>
        </w:rPr>
        <w:t>GONÇALVES</w:t>
      </w:r>
      <w:r w:rsidRPr="00CE4105">
        <w:rPr>
          <w:color w:val="000000"/>
        </w:rPr>
        <w:t xml:space="preserve">, </w:t>
      </w:r>
      <w:r>
        <w:rPr>
          <w:color w:val="000000"/>
        </w:rPr>
        <w:t>Jordão Mota</w:t>
      </w:r>
      <w:r w:rsidRPr="00CE4105">
        <w:rPr>
          <w:color w:val="000000"/>
        </w:rPr>
        <w:t xml:space="preserve">. </w:t>
      </w:r>
      <w:r w:rsidR="00663C37" w:rsidRPr="00663C37">
        <w:rPr>
          <w:color w:val="000000"/>
        </w:rPr>
        <w:t xml:space="preserve">O </w:t>
      </w:r>
      <w:r w:rsidR="00663C37">
        <w:rPr>
          <w:color w:val="000000"/>
        </w:rPr>
        <w:t xml:space="preserve">relacionamento entre </w:t>
      </w:r>
      <w:r w:rsidR="000B32FB">
        <w:rPr>
          <w:color w:val="000000"/>
        </w:rPr>
        <w:t>R</w:t>
      </w:r>
      <w:r w:rsidR="00663C37">
        <w:rPr>
          <w:color w:val="000000"/>
        </w:rPr>
        <w:t xml:space="preserve">esultado do </w:t>
      </w:r>
      <w:r w:rsidR="000B32FB">
        <w:rPr>
          <w:color w:val="000000"/>
        </w:rPr>
        <w:t>Tesouro Nacional, Estatísticas Fiscais Trimestrais do Governo Geral e o Boletim de Finanças dos Entes Subnacionais:</w:t>
      </w:r>
      <w:r w:rsidR="00663C37" w:rsidRPr="00663C37">
        <w:rPr>
          <w:color w:val="000000"/>
        </w:rPr>
        <w:t xml:space="preserve"> </w:t>
      </w:r>
      <w:r w:rsidR="000B32FB">
        <w:rPr>
          <w:color w:val="000000"/>
        </w:rPr>
        <w:t>uma análise exploratória sobre o gasto com pessoal, com previdência e com investimento.</w:t>
      </w:r>
      <w:r w:rsidRPr="00CE4105">
        <w:rPr>
          <w:color w:val="000000"/>
        </w:rPr>
        <w:t xml:space="preserve"> </w:t>
      </w:r>
      <w:r>
        <w:rPr>
          <w:color w:val="000000"/>
        </w:rPr>
        <w:t>Monografia</w:t>
      </w:r>
      <w:r w:rsidRPr="00CE4105">
        <w:rPr>
          <w:color w:val="000000"/>
        </w:rPr>
        <w:t xml:space="preserve"> (</w:t>
      </w:r>
      <w:r>
        <w:rPr>
          <w:color w:val="000000"/>
        </w:rPr>
        <w:t>Pós-Graduação</w:t>
      </w:r>
      <w:r w:rsidRPr="00CE4105">
        <w:rPr>
          <w:color w:val="000000"/>
        </w:rPr>
        <w:t xml:space="preserve">) – </w:t>
      </w:r>
      <w:r>
        <w:rPr>
          <w:color w:val="000000"/>
        </w:rPr>
        <w:t>ENAP</w:t>
      </w:r>
      <w:r w:rsidRPr="00CE4105">
        <w:rPr>
          <w:color w:val="000000"/>
        </w:rPr>
        <w:t xml:space="preserve">, </w:t>
      </w:r>
      <w:r>
        <w:rPr>
          <w:color w:val="000000"/>
        </w:rPr>
        <w:t>Brasília</w:t>
      </w:r>
      <w:r w:rsidRPr="00CE4105">
        <w:rPr>
          <w:color w:val="000000"/>
        </w:rPr>
        <w:t>, 201</w:t>
      </w:r>
      <w:r>
        <w:rPr>
          <w:color w:val="000000"/>
        </w:rPr>
        <w:t>9</w:t>
      </w:r>
      <w:r w:rsidRPr="00CE4105">
        <w:rPr>
          <w:color w:val="000000"/>
        </w:rPr>
        <w:t>.</w:t>
      </w:r>
    </w:p>
    <w:p w14:paraId="05F253C7" w14:textId="3C84B683" w:rsidR="0032084E" w:rsidRDefault="0032084E" w:rsidP="00B67C2B">
      <w:pPr>
        <w:ind w:firstLine="708"/>
        <w:rPr>
          <w:color w:val="000000"/>
        </w:rPr>
      </w:pPr>
    </w:p>
    <w:p w14:paraId="3D6EE1F1" w14:textId="288B250C" w:rsidR="00760E67" w:rsidRDefault="00DD2245" w:rsidP="0043528E">
      <w:pPr>
        <w:ind w:firstLine="708"/>
      </w:pPr>
      <w:r>
        <w:t>Este</w:t>
      </w:r>
      <w:r w:rsidR="0032084E" w:rsidRPr="00946E02">
        <w:t xml:space="preserve"> </w:t>
      </w:r>
      <w:r>
        <w:t>trabalho pretende realizar</w:t>
      </w:r>
      <w:r w:rsidR="0032084E" w:rsidRPr="00946E02">
        <w:t xml:space="preserve"> </w:t>
      </w:r>
      <w:r w:rsidR="00136059">
        <w:t xml:space="preserve">uma análise exploratória </w:t>
      </w:r>
      <w:r w:rsidR="00643920">
        <w:t>sobre</w:t>
      </w:r>
      <w:r w:rsidR="00A67036" w:rsidRPr="00946E02">
        <w:t xml:space="preserve"> os números e as nomenclaturas empregadas na divulgação de dados relativos aos gastos com pessoal, com previdência e com investimento nos relatórios Boletim de Finanças dos Entes Subnacionais, Estatísticas Fiscais Trimestrais do Governo Geral e Resultado do Tesouro Nacional (RTN), </w:t>
      </w:r>
      <w:r w:rsidR="00382B76">
        <w:t xml:space="preserve">todos elaborados pela Secretaria do Tesouro Nacional (STN), </w:t>
      </w:r>
      <w:r w:rsidR="001D0009">
        <w:t xml:space="preserve">para observar se há </w:t>
      </w:r>
      <w:r w:rsidR="00AB06E0">
        <w:t>uniformidade de</w:t>
      </w:r>
      <w:r w:rsidR="000B4912">
        <w:t xml:space="preserve"> tratamento</w:t>
      </w:r>
      <w:r w:rsidR="006A0AD3">
        <w:t xml:space="preserve"> entre </w:t>
      </w:r>
      <w:r w:rsidR="00405349">
        <w:t>essas informações</w:t>
      </w:r>
      <w:r w:rsidR="0032084E" w:rsidRPr="00946E02">
        <w:t>.</w:t>
      </w:r>
      <w:r w:rsidR="00405349">
        <w:t xml:space="preserve"> </w:t>
      </w:r>
      <w:r w:rsidR="008A7515" w:rsidRPr="003F5B1F">
        <w:t xml:space="preserve">Para </w:t>
      </w:r>
      <w:r w:rsidR="00405349">
        <w:t xml:space="preserve">esse propósito, </w:t>
      </w:r>
      <w:r w:rsidR="0067280B">
        <w:t>es</w:t>
      </w:r>
      <w:r w:rsidR="00C70BAD">
        <w:t>t</w:t>
      </w:r>
      <w:r w:rsidR="0067280B">
        <w:t>e trabalho</w:t>
      </w:r>
      <w:r w:rsidR="0003235B">
        <w:t>, no capítulo introdutório,</w:t>
      </w:r>
      <w:r w:rsidR="0067280B">
        <w:t xml:space="preserve"> inclui </w:t>
      </w:r>
      <w:r w:rsidR="001F48D8">
        <w:t>uma revisão bibliográfica sobre transparência fiscal e a teoria da comunicação</w:t>
      </w:r>
      <w:r w:rsidR="000435B6">
        <w:t>, para situar o objetivo institucional</w:t>
      </w:r>
      <w:r w:rsidR="00EA33C2">
        <w:t xml:space="preserve"> da STN</w:t>
      </w:r>
      <w:r w:rsidR="000435B6">
        <w:t xml:space="preserve"> com a divulgação </w:t>
      </w:r>
      <w:r w:rsidR="0033154C">
        <w:t>d</w:t>
      </w:r>
      <w:r w:rsidR="00554F52">
        <w:t>esse</w:t>
      </w:r>
      <w:r w:rsidR="0033154C">
        <w:t>s dados à sociedade</w:t>
      </w:r>
      <w:r w:rsidR="00D54870">
        <w:t>;</w:t>
      </w:r>
      <w:r w:rsidR="001F48D8">
        <w:t xml:space="preserve"> depois </w:t>
      </w:r>
      <w:r w:rsidR="00A33AFB">
        <w:t xml:space="preserve">apresenta </w:t>
      </w:r>
      <w:r w:rsidR="0067280B">
        <w:t xml:space="preserve">um capítulo com </w:t>
      </w:r>
      <w:r w:rsidR="00AE6988">
        <w:t>o panorama</w:t>
      </w:r>
      <w:r w:rsidR="002B7391">
        <w:t xml:space="preserve"> </w:t>
      </w:r>
      <w:r w:rsidR="0005088D">
        <w:t xml:space="preserve">dos </w:t>
      </w:r>
      <w:r w:rsidR="00AE6988">
        <w:t xml:space="preserve">três </w:t>
      </w:r>
      <w:r w:rsidR="0005088D">
        <w:t>relatóri</w:t>
      </w:r>
      <w:r w:rsidR="00AE6988">
        <w:t>os</w:t>
      </w:r>
      <w:r w:rsidR="006475A0">
        <w:t xml:space="preserve"> </w:t>
      </w:r>
      <w:r w:rsidR="00CE5C76">
        <w:t>em</w:t>
      </w:r>
      <w:r w:rsidR="006475A0">
        <w:t xml:space="preserve"> estudo</w:t>
      </w:r>
      <w:r w:rsidR="00205333">
        <w:t>;</w:t>
      </w:r>
      <w:r w:rsidR="00C20DD5">
        <w:t xml:space="preserve"> </w:t>
      </w:r>
      <w:r w:rsidR="006F5F3D">
        <w:t>um capítulo com a análise descritiva</w:t>
      </w:r>
      <w:r w:rsidR="002B7391">
        <w:t xml:space="preserve"> dos dados</w:t>
      </w:r>
      <w:r w:rsidR="00837625">
        <w:t>;</w:t>
      </w:r>
      <w:r w:rsidR="008952F8">
        <w:t xml:space="preserve"> bem como a discussão</w:t>
      </w:r>
      <w:r w:rsidR="0067280B">
        <w:t xml:space="preserve"> </w:t>
      </w:r>
      <w:r w:rsidR="0068650D">
        <w:t xml:space="preserve">dos resultados </w:t>
      </w:r>
      <w:r w:rsidR="00650715">
        <w:t xml:space="preserve">levantados; </w:t>
      </w:r>
      <w:r w:rsidR="0068650D">
        <w:t xml:space="preserve">e uma conclusão </w:t>
      </w:r>
      <w:r w:rsidR="006E787A">
        <w:t xml:space="preserve">comparando os dados apresentados </w:t>
      </w:r>
      <w:r w:rsidR="0016702C">
        <w:t>e</w:t>
      </w:r>
      <w:r w:rsidR="006E787A">
        <w:t xml:space="preserve"> o</w:t>
      </w:r>
      <w:r w:rsidR="0016702C">
        <w:t>s objetivos d</w:t>
      </w:r>
      <w:r w:rsidR="00124896">
        <w:t>a pesquisa</w:t>
      </w:r>
      <w:r w:rsidR="0016702C">
        <w:t>.</w:t>
      </w:r>
      <w:r w:rsidR="00382B76">
        <w:t xml:space="preserve"> </w:t>
      </w:r>
      <w:r w:rsidR="008A7515" w:rsidRPr="003F5B1F">
        <w:t xml:space="preserve"> </w:t>
      </w:r>
    </w:p>
    <w:p w14:paraId="7D18FEFE" w14:textId="42FB5AF9" w:rsidR="0068174A" w:rsidRDefault="0068174A" w:rsidP="0043528E">
      <w:pPr>
        <w:ind w:firstLine="708"/>
      </w:pPr>
    </w:p>
    <w:p w14:paraId="331121B5" w14:textId="6DFC73A3" w:rsidR="0068174A" w:rsidRDefault="0068174A" w:rsidP="0043528E">
      <w:pPr>
        <w:ind w:firstLine="708"/>
      </w:pPr>
    </w:p>
    <w:p w14:paraId="08ED27D5" w14:textId="0D1DD459" w:rsidR="00312695" w:rsidRDefault="00312695" w:rsidP="0043528E">
      <w:pPr>
        <w:ind w:firstLine="708"/>
      </w:pPr>
    </w:p>
    <w:p w14:paraId="4C681620" w14:textId="77777777" w:rsidR="00312695" w:rsidRDefault="00312695" w:rsidP="0043528E">
      <w:pPr>
        <w:ind w:firstLine="708"/>
      </w:pPr>
    </w:p>
    <w:p w14:paraId="420212D3" w14:textId="649909D5" w:rsidR="0068174A" w:rsidRDefault="0068174A" w:rsidP="0043528E">
      <w:pPr>
        <w:ind w:firstLine="708"/>
      </w:pPr>
    </w:p>
    <w:p w14:paraId="5E1B20C5" w14:textId="51C51116" w:rsidR="0068174A" w:rsidRDefault="0068174A" w:rsidP="0043528E">
      <w:pPr>
        <w:ind w:firstLine="708"/>
      </w:pPr>
    </w:p>
    <w:p w14:paraId="102D6BEF" w14:textId="39927BBA" w:rsidR="0068174A" w:rsidRDefault="0068174A" w:rsidP="0043528E">
      <w:pPr>
        <w:ind w:firstLine="708"/>
      </w:pPr>
    </w:p>
    <w:p w14:paraId="43A1687C" w14:textId="223235B0" w:rsidR="0068174A" w:rsidRDefault="0068174A" w:rsidP="0043528E">
      <w:pPr>
        <w:ind w:firstLine="708"/>
      </w:pPr>
    </w:p>
    <w:p w14:paraId="7B427634" w14:textId="3FBD9DDB" w:rsidR="0068174A" w:rsidRDefault="0068174A" w:rsidP="0043528E">
      <w:pPr>
        <w:ind w:firstLine="708"/>
      </w:pPr>
    </w:p>
    <w:p w14:paraId="685DA2DD" w14:textId="6B3DDCFD" w:rsidR="0068174A" w:rsidRDefault="0068174A" w:rsidP="0043528E">
      <w:pPr>
        <w:ind w:firstLine="708"/>
      </w:pPr>
    </w:p>
    <w:p w14:paraId="3F53B48C" w14:textId="09422239" w:rsidR="0068174A" w:rsidRDefault="0068174A" w:rsidP="0043528E">
      <w:pPr>
        <w:ind w:firstLine="708"/>
      </w:pPr>
    </w:p>
    <w:p w14:paraId="4927A37F" w14:textId="10B82139" w:rsidR="0068174A" w:rsidRDefault="0068174A" w:rsidP="0043528E">
      <w:pPr>
        <w:ind w:firstLine="708"/>
      </w:pPr>
    </w:p>
    <w:p w14:paraId="44FFDBB4" w14:textId="0B3FB17B" w:rsidR="0068174A" w:rsidRDefault="0068174A" w:rsidP="0043528E">
      <w:pPr>
        <w:ind w:firstLine="708"/>
      </w:pPr>
    </w:p>
    <w:p w14:paraId="7C851BED" w14:textId="77777777" w:rsidR="0068174A" w:rsidRPr="00CE4105" w:rsidRDefault="0068174A" w:rsidP="0068174A">
      <w:pPr>
        <w:jc w:val="center"/>
        <w:rPr>
          <w:b/>
          <w:color w:val="000000"/>
          <w:lang w:eastAsia="ar-SA"/>
        </w:rPr>
      </w:pPr>
      <w:r w:rsidRPr="00CE4105">
        <w:rPr>
          <w:b/>
          <w:color w:val="000000"/>
        </w:rPr>
        <w:lastRenderedPageBreak/>
        <w:t>ABSTRACT</w:t>
      </w:r>
    </w:p>
    <w:p w14:paraId="198D5C98" w14:textId="77777777" w:rsidR="0068174A" w:rsidRPr="00CE4105" w:rsidRDefault="0068174A" w:rsidP="0068174A">
      <w:pPr>
        <w:jc w:val="center"/>
        <w:rPr>
          <w:b/>
          <w:color w:val="000000"/>
        </w:rPr>
      </w:pPr>
    </w:p>
    <w:p w14:paraId="1F1F75A8" w14:textId="77777777" w:rsidR="0068174A" w:rsidRPr="00B75598" w:rsidRDefault="0068174A" w:rsidP="0068174A">
      <w:pPr>
        <w:spacing w:after="300"/>
        <w:ind w:firstLine="0"/>
        <w:rPr>
          <w:b/>
          <w:lang w:eastAsia="ar-SA"/>
        </w:rPr>
      </w:pPr>
      <w:r>
        <w:rPr>
          <w:color w:val="000000"/>
        </w:rPr>
        <w:t>GONÇALVES</w:t>
      </w:r>
      <w:r w:rsidRPr="00CE4105">
        <w:rPr>
          <w:color w:val="000000"/>
        </w:rPr>
        <w:t xml:space="preserve">, </w:t>
      </w:r>
      <w:r>
        <w:rPr>
          <w:color w:val="000000"/>
        </w:rPr>
        <w:t>Jordão Mota</w:t>
      </w:r>
      <w:r w:rsidRPr="00CE4105">
        <w:rPr>
          <w:color w:val="000000"/>
        </w:rPr>
        <w:t xml:space="preserve">. </w:t>
      </w:r>
      <w:r w:rsidRPr="00663C37">
        <w:rPr>
          <w:color w:val="000000"/>
        </w:rPr>
        <w:t xml:space="preserve">O </w:t>
      </w:r>
      <w:r>
        <w:rPr>
          <w:color w:val="000000"/>
        </w:rPr>
        <w:t>relacionamento entre Resultado do Tesouro Nacional, Estatísticas Fiscais Trimestrais do Governo Geral e o Boletim de Finanças dos Entes Subnacionais:</w:t>
      </w:r>
      <w:r w:rsidRPr="00663C37">
        <w:rPr>
          <w:color w:val="000000"/>
        </w:rPr>
        <w:t xml:space="preserve"> </w:t>
      </w:r>
      <w:r>
        <w:rPr>
          <w:color w:val="000000"/>
        </w:rPr>
        <w:t>uma análise exploratória sobre o gasto com pessoal, com previdência e com investimento.</w:t>
      </w:r>
      <w:r w:rsidRPr="00CE4105">
        <w:rPr>
          <w:color w:val="000000"/>
        </w:rPr>
        <w:t xml:space="preserve"> </w:t>
      </w:r>
      <w:r>
        <w:rPr>
          <w:color w:val="000000"/>
        </w:rPr>
        <w:t>Monografia</w:t>
      </w:r>
      <w:r w:rsidRPr="00CE4105">
        <w:rPr>
          <w:color w:val="000000"/>
        </w:rPr>
        <w:t xml:space="preserve"> (</w:t>
      </w:r>
      <w:r>
        <w:rPr>
          <w:color w:val="000000"/>
        </w:rPr>
        <w:t>Pós-Graduação</w:t>
      </w:r>
      <w:r w:rsidRPr="00CE4105">
        <w:rPr>
          <w:color w:val="000000"/>
        </w:rPr>
        <w:t xml:space="preserve">) – </w:t>
      </w:r>
      <w:r>
        <w:rPr>
          <w:color w:val="000000"/>
        </w:rPr>
        <w:t>ENAP</w:t>
      </w:r>
      <w:r w:rsidRPr="00CE4105">
        <w:rPr>
          <w:color w:val="000000"/>
        </w:rPr>
        <w:t xml:space="preserve">, </w:t>
      </w:r>
      <w:r>
        <w:rPr>
          <w:color w:val="000000"/>
        </w:rPr>
        <w:t>Brasília</w:t>
      </w:r>
      <w:r w:rsidRPr="00CE4105">
        <w:rPr>
          <w:color w:val="000000"/>
        </w:rPr>
        <w:t>, 201</w:t>
      </w:r>
      <w:r>
        <w:rPr>
          <w:color w:val="000000"/>
        </w:rPr>
        <w:t>9</w:t>
      </w:r>
      <w:r w:rsidRPr="00CE4105">
        <w:rPr>
          <w:color w:val="000000"/>
        </w:rPr>
        <w:t>.</w:t>
      </w:r>
    </w:p>
    <w:p w14:paraId="0AB84724" w14:textId="77777777" w:rsidR="0068174A" w:rsidRPr="009A4121" w:rsidRDefault="0068174A" w:rsidP="0068174A">
      <w:pPr>
        <w:rPr>
          <w:color w:val="000000"/>
        </w:rPr>
      </w:pPr>
    </w:p>
    <w:p w14:paraId="154580A1" w14:textId="77777777" w:rsidR="00312695" w:rsidRDefault="00312695" w:rsidP="00312695">
      <w:pPr>
        <w:ind w:firstLine="708"/>
      </w:pPr>
      <w:proofErr w:type="spellStart"/>
      <w:r>
        <w:t>This</w:t>
      </w:r>
      <w:proofErr w:type="spellEnd"/>
      <w:r>
        <w:t xml:space="preserve"> </w:t>
      </w:r>
      <w:proofErr w:type="spellStart"/>
      <w:r>
        <w:t>study</w:t>
      </w:r>
      <w:proofErr w:type="spellEnd"/>
      <w:r>
        <w:t xml:space="preserve"> </w:t>
      </w:r>
      <w:proofErr w:type="spellStart"/>
      <w:r>
        <w:t>aims</w:t>
      </w:r>
      <w:proofErr w:type="spellEnd"/>
      <w:r>
        <w:t xml:space="preserve"> </w:t>
      </w:r>
      <w:proofErr w:type="spellStart"/>
      <w:r>
        <w:t>to</w:t>
      </w:r>
      <w:proofErr w:type="spellEnd"/>
      <w:r>
        <w:t xml:space="preserve"> </w:t>
      </w:r>
      <w:proofErr w:type="spellStart"/>
      <w:r>
        <w:t>carry</w:t>
      </w:r>
      <w:proofErr w:type="spellEnd"/>
      <w:r>
        <w:t xml:space="preserve"> out </w:t>
      </w:r>
      <w:proofErr w:type="spellStart"/>
      <w:r>
        <w:t>an</w:t>
      </w:r>
      <w:proofErr w:type="spellEnd"/>
      <w:r>
        <w:t xml:space="preserve"> </w:t>
      </w:r>
      <w:proofErr w:type="spellStart"/>
      <w:r>
        <w:t>exploratory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numbers</w:t>
      </w:r>
      <w:proofErr w:type="spellEnd"/>
      <w:r>
        <w:t xml:space="preserve"> </w:t>
      </w:r>
      <w:proofErr w:type="spellStart"/>
      <w:r>
        <w:t>and</w:t>
      </w:r>
      <w:proofErr w:type="spellEnd"/>
      <w:r>
        <w:t xml:space="preserve"> </w:t>
      </w:r>
      <w:proofErr w:type="spellStart"/>
      <w:r>
        <w:t>nomeclature</w:t>
      </w:r>
      <w:proofErr w:type="spellEnd"/>
      <w:r>
        <w:t xml:space="preserve"> </w:t>
      </w:r>
      <w:proofErr w:type="spellStart"/>
      <w:r>
        <w:t>used</w:t>
      </w:r>
      <w:proofErr w:type="spellEnd"/>
      <w:r>
        <w:t xml:space="preserve"> </w:t>
      </w:r>
      <w:proofErr w:type="spellStart"/>
      <w:r>
        <w:t>on</w:t>
      </w:r>
      <w:proofErr w:type="spellEnd"/>
      <w:r>
        <w:t xml:space="preserve"> data </w:t>
      </w:r>
      <w:proofErr w:type="spellStart"/>
      <w:r>
        <w:t>disclosure</w:t>
      </w:r>
      <w:proofErr w:type="spellEnd"/>
      <w:r>
        <w:t xml:space="preserve"> </w:t>
      </w:r>
      <w:proofErr w:type="spellStart"/>
      <w:r>
        <w:t>related</w:t>
      </w:r>
      <w:proofErr w:type="spellEnd"/>
      <w:r>
        <w:t xml:space="preserve"> </w:t>
      </w:r>
      <w:proofErr w:type="spellStart"/>
      <w:r>
        <w:t>to</w:t>
      </w:r>
      <w:proofErr w:type="spellEnd"/>
      <w:r>
        <w:t xml:space="preserve"> </w:t>
      </w:r>
      <w:proofErr w:type="spellStart"/>
      <w:r>
        <w:t>personnel</w:t>
      </w:r>
      <w:proofErr w:type="spellEnd"/>
      <w:r>
        <w:t xml:space="preserve">, </w:t>
      </w:r>
      <w:proofErr w:type="spellStart"/>
      <w:r>
        <w:t>pensions</w:t>
      </w:r>
      <w:proofErr w:type="spellEnd"/>
      <w:r>
        <w:t xml:space="preserve"> </w:t>
      </w:r>
      <w:proofErr w:type="spellStart"/>
      <w:r>
        <w:t>and</w:t>
      </w:r>
      <w:proofErr w:type="spellEnd"/>
      <w:r>
        <w:t xml:space="preserve"> </w:t>
      </w:r>
      <w:proofErr w:type="spellStart"/>
      <w:r>
        <w:t>investment</w:t>
      </w:r>
      <w:proofErr w:type="spellEnd"/>
      <w:r>
        <w:t xml:space="preserve"> </w:t>
      </w:r>
      <w:proofErr w:type="spellStart"/>
      <w:r>
        <w:t>expenditure</w:t>
      </w:r>
      <w:proofErr w:type="spellEnd"/>
      <w:r>
        <w:t xml:space="preserve"> in </w:t>
      </w:r>
      <w:proofErr w:type="spellStart"/>
      <w:r>
        <w:t>the</w:t>
      </w:r>
      <w:proofErr w:type="spellEnd"/>
      <w:r>
        <w:t xml:space="preserve"> </w:t>
      </w:r>
      <w:proofErr w:type="spellStart"/>
      <w:r w:rsidRPr="004F3205">
        <w:t>Subnationals</w:t>
      </w:r>
      <w:proofErr w:type="spellEnd"/>
      <w:r w:rsidRPr="004F3205">
        <w:t xml:space="preserve"> </w:t>
      </w:r>
      <w:proofErr w:type="spellStart"/>
      <w:r w:rsidRPr="004F3205">
        <w:t>Finance</w:t>
      </w:r>
      <w:proofErr w:type="spellEnd"/>
      <w:r w:rsidRPr="004F3205">
        <w:t xml:space="preserve"> </w:t>
      </w:r>
      <w:proofErr w:type="spellStart"/>
      <w:r w:rsidRPr="004F3205">
        <w:t>Report</w:t>
      </w:r>
      <w:proofErr w:type="spellEnd"/>
      <w:r>
        <w:t xml:space="preserve">, </w:t>
      </w:r>
      <w:proofErr w:type="spellStart"/>
      <w:r w:rsidRPr="00E67E39">
        <w:t>Harmonized</w:t>
      </w:r>
      <w:proofErr w:type="spellEnd"/>
      <w:r w:rsidRPr="00E67E39">
        <w:t xml:space="preserve"> Fiscal </w:t>
      </w:r>
      <w:proofErr w:type="spellStart"/>
      <w:r w:rsidRPr="00E67E39">
        <w:t>Statistics</w:t>
      </w:r>
      <w:proofErr w:type="spellEnd"/>
      <w:r>
        <w:t xml:space="preserve"> </w:t>
      </w:r>
      <w:proofErr w:type="spellStart"/>
      <w:r w:rsidRPr="00A97E6F">
        <w:t>and</w:t>
      </w:r>
      <w:proofErr w:type="spellEnd"/>
      <w:r w:rsidRPr="00A97E6F">
        <w:t xml:space="preserve"> Central </w:t>
      </w:r>
      <w:proofErr w:type="spellStart"/>
      <w:r w:rsidRPr="00A97E6F">
        <w:t>Government</w:t>
      </w:r>
      <w:proofErr w:type="spellEnd"/>
      <w:r w:rsidRPr="00A97E6F">
        <w:t xml:space="preserve"> </w:t>
      </w:r>
      <w:proofErr w:type="spellStart"/>
      <w:r w:rsidRPr="00A97E6F">
        <w:t>Primary</w:t>
      </w:r>
      <w:proofErr w:type="spellEnd"/>
      <w:r w:rsidRPr="00A97E6F">
        <w:t xml:space="preserve"> Balance (RTN)</w:t>
      </w:r>
      <w:r>
        <w:t xml:space="preserve">, </w:t>
      </w:r>
      <w:proofErr w:type="spellStart"/>
      <w:r>
        <w:t>all</w:t>
      </w:r>
      <w:proofErr w:type="spellEnd"/>
      <w:r>
        <w:t xml:space="preserve"> </w:t>
      </w:r>
      <w:proofErr w:type="spellStart"/>
      <w:r>
        <w:t>published</w:t>
      </w:r>
      <w:proofErr w:type="spellEnd"/>
      <w:r>
        <w:t xml:space="preserve"> </w:t>
      </w:r>
      <w:proofErr w:type="spellStart"/>
      <w:r>
        <w:t>by</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Treasury</w:t>
      </w:r>
      <w:proofErr w:type="spellEnd"/>
      <w:r>
        <w:t xml:space="preserve"> </w:t>
      </w:r>
      <w:proofErr w:type="spellStart"/>
      <w:r>
        <w:t>Secretary</w:t>
      </w:r>
      <w:proofErr w:type="spellEnd"/>
      <w:r>
        <w:t xml:space="preserve"> (STN), </w:t>
      </w:r>
      <w:proofErr w:type="spellStart"/>
      <w:r>
        <w:t>to</w:t>
      </w:r>
      <w:proofErr w:type="spellEnd"/>
      <w:r>
        <w:t xml:space="preserve"> observe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uniformity</w:t>
      </w:r>
      <w:proofErr w:type="spellEnd"/>
      <w:r>
        <w:t xml:space="preserve"> </w:t>
      </w:r>
      <w:proofErr w:type="spellStart"/>
      <w:r>
        <w:t>of</w:t>
      </w:r>
      <w:proofErr w:type="spellEnd"/>
      <w:r>
        <w:t xml:space="preserve"> </w:t>
      </w:r>
      <w:proofErr w:type="spellStart"/>
      <w:r>
        <w:t>treatment</w:t>
      </w:r>
      <w:proofErr w:type="spellEnd"/>
      <w:r>
        <w:t xml:space="preserve"> </w:t>
      </w:r>
      <w:proofErr w:type="spellStart"/>
      <w:r>
        <w:t>among</w:t>
      </w:r>
      <w:proofErr w:type="spellEnd"/>
      <w:r>
        <w:t xml:space="preserve"> </w:t>
      </w:r>
      <w:proofErr w:type="spellStart"/>
      <w:r w:rsidRPr="00AD1E19">
        <w:t>that</w:t>
      </w:r>
      <w:proofErr w:type="spellEnd"/>
      <w:r w:rsidRPr="00AD1E19">
        <w:t xml:space="preserve"> </w:t>
      </w:r>
      <w:proofErr w:type="spellStart"/>
      <w:r w:rsidRPr="00AD1E19">
        <w:t>information</w:t>
      </w:r>
      <w:proofErr w:type="spellEnd"/>
      <w:r>
        <w:t xml:space="preserve">. For </w:t>
      </w:r>
      <w:proofErr w:type="spellStart"/>
      <w:r>
        <w:t>this</w:t>
      </w:r>
      <w:proofErr w:type="spellEnd"/>
      <w:r>
        <w:t xml:space="preserve"> </w:t>
      </w:r>
      <w:proofErr w:type="spellStart"/>
      <w:r>
        <w:t>purpose</w:t>
      </w:r>
      <w:proofErr w:type="spellEnd"/>
      <w:r>
        <w:t xml:space="preserve">, </w:t>
      </w:r>
      <w:proofErr w:type="spellStart"/>
      <w:r>
        <w:t>this</w:t>
      </w:r>
      <w:proofErr w:type="spellEnd"/>
      <w:r>
        <w:t xml:space="preserve"> </w:t>
      </w:r>
      <w:proofErr w:type="spellStart"/>
      <w:r>
        <w:t>study</w:t>
      </w:r>
      <w:proofErr w:type="spellEnd"/>
      <w:r>
        <w:t xml:space="preserve">, in </w:t>
      </w:r>
      <w:proofErr w:type="spellStart"/>
      <w:r>
        <w:t>the</w:t>
      </w:r>
      <w:proofErr w:type="spellEnd"/>
      <w:r>
        <w:t xml:space="preserve"> </w:t>
      </w:r>
      <w:proofErr w:type="spellStart"/>
      <w:r>
        <w:t>introductory</w:t>
      </w:r>
      <w:proofErr w:type="spellEnd"/>
      <w:r>
        <w:t xml:space="preserve"> </w:t>
      </w:r>
      <w:proofErr w:type="spellStart"/>
      <w:r>
        <w:t>chapter</w:t>
      </w:r>
      <w:proofErr w:type="spellEnd"/>
      <w:r>
        <w:t xml:space="preserve">, includes a </w:t>
      </w:r>
      <w:proofErr w:type="spellStart"/>
      <w:r>
        <w:t>bibliographic</w:t>
      </w:r>
      <w:proofErr w:type="spellEnd"/>
      <w:r>
        <w:t xml:space="preserve"> review </w:t>
      </w:r>
      <w:proofErr w:type="spellStart"/>
      <w:r>
        <w:t>of</w:t>
      </w:r>
      <w:proofErr w:type="spellEnd"/>
      <w:r>
        <w:t xml:space="preserve"> fiscal </w:t>
      </w:r>
      <w:proofErr w:type="spellStart"/>
      <w:r>
        <w:t>transparency</w:t>
      </w:r>
      <w:proofErr w:type="spellEnd"/>
      <w:r>
        <w:t xml:space="preserve"> </w:t>
      </w:r>
      <w:proofErr w:type="spellStart"/>
      <w:r>
        <w:t>and</w:t>
      </w:r>
      <w:proofErr w:type="spellEnd"/>
      <w:r>
        <w:t xml:space="preserve"> communication </w:t>
      </w:r>
      <w:proofErr w:type="spellStart"/>
      <w:r>
        <w:t>theory</w:t>
      </w:r>
      <w:proofErr w:type="spellEnd"/>
      <w:r>
        <w:t xml:space="preserve">, </w:t>
      </w:r>
      <w:proofErr w:type="spellStart"/>
      <w:r>
        <w:t>to</w:t>
      </w:r>
      <w:proofErr w:type="spellEnd"/>
      <w:r>
        <w:t xml:space="preserve"> </w:t>
      </w:r>
      <w:proofErr w:type="spellStart"/>
      <w:r>
        <w:t>situate</w:t>
      </w:r>
      <w:proofErr w:type="spellEnd"/>
      <w:r>
        <w:t xml:space="preserve"> </w:t>
      </w:r>
      <w:proofErr w:type="spellStart"/>
      <w:r>
        <w:t>the</w:t>
      </w:r>
      <w:proofErr w:type="spellEnd"/>
      <w:r>
        <w:t xml:space="preserve"> STN </w:t>
      </w:r>
      <w:proofErr w:type="spellStart"/>
      <w:r>
        <w:t>institutional</w:t>
      </w:r>
      <w:proofErr w:type="spellEnd"/>
      <w:r>
        <w:t xml:space="preserve"> </w:t>
      </w:r>
      <w:proofErr w:type="spellStart"/>
      <w:r>
        <w:t>goal</w:t>
      </w:r>
      <w:proofErr w:type="spellEnd"/>
      <w:r>
        <w:t xml:space="preserve"> </w:t>
      </w:r>
      <w:proofErr w:type="spellStart"/>
      <w:r>
        <w:t>with</w:t>
      </w:r>
      <w:proofErr w:type="spellEnd"/>
      <w:r>
        <w:t xml:space="preserve"> data </w:t>
      </w:r>
      <w:proofErr w:type="spellStart"/>
      <w:r>
        <w:t>disclosure</w:t>
      </w:r>
      <w:proofErr w:type="spellEnd"/>
      <w:r>
        <w:t xml:space="preserve"> </w:t>
      </w:r>
      <w:proofErr w:type="spellStart"/>
      <w:r>
        <w:t>to</w:t>
      </w:r>
      <w:proofErr w:type="spellEnd"/>
      <w:r>
        <w:t xml:space="preserve"> </w:t>
      </w:r>
      <w:proofErr w:type="spellStart"/>
      <w:r>
        <w:t>society</w:t>
      </w:r>
      <w:proofErr w:type="spellEnd"/>
      <w:r>
        <w:t xml:space="preserve">; </w:t>
      </w:r>
      <w:proofErr w:type="spellStart"/>
      <w:r>
        <w:t>then</w:t>
      </w:r>
      <w:proofErr w:type="spellEnd"/>
      <w:r>
        <w:t xml:space="preserve"> it </w:t>
      </w:r>
      <w:proofErr w:type="spellStart"/>
      <w:r>
        <w:t>presents</w:t>
      </w:r>
      <w:proofErr w:type="spellEnd"/>
      <w:r>
        <w:t xml:space="preserve"> </w:t>
      </w:r>
      <w:proofErr w:type="spellStart"/>
      <w:r>
        <w:t>one</w:t>
      </w:r>
      <w:proofErr w:type="spellEnd"/>
      <w:r>
        <w:t xml:space="preserve"> </w:t>
      </w:r>
      <w:proofErr w:type="spellStart"/>
      <w:r>
        <w:t>chapter</w:t>
      </w:r>
      <w:proofErr w:type="spellEnd"/>
      <w:r>
        <w:t xml:space="preserve"> </w:t>
      </w:r>
      <w:proofErr w:type="spellStart"/>
      <w:r>
        <w:t>with</w:t>
      </w:r>
      <w:proofErr w:type="spellEnd"/>
      <w:r>
        <w:t xml:space="preserve"> </w:t>
      </w:r>
      <w:proofErr w:type="spellStart"/>
      <w:r>
        <w:t>the</w:t>
      </w:r>
      <w:proofErr w:type="spellEnd"/>
      <w:r>
        <w:t xml:space="preserve"> overview </w:t>
      </w:r>
      <w:proofErr w:type="spellStart"/>
      <w:r>
        <w:t>of</w:t>
      </w:r>
      <w:proofErr w:type="spellEnd"/>
      <w:r>
        <w:t xml:space="preserve"> </w:t>
      </w:r>
      <w:proofErr w:type="spellStart"/>
      <w:r>
        <w:t>the</w:t>
      </w:r>
      <w:proofErr w:type="spellEnd"/>
      <w:r>
        <w:t xml:space="preserve"> </w:t>
      </w:r>
      <w:proofErr w:type="spellStart"/>
      <w:r>
        <w:t>three</w:t>
      </w:r>
      <w:proofErr w:type="spellEnd"/>
      <w:r>
        <w:t xml:space="preserve"> </w:t>
      </w:r>
      <w:proofErr w:type="spellStart"/>
      <w:r>
        <w:t>examined</w:t>
      </w:r>
      <w:proofErr w:type="spellEnd"/>
      <w:r>
        <w:t xml:space="preserve"> </w:t>
      </w:r>
      <w:proofErr w:type="spellStart"/>
      <w:r>
        <w:t>reports</w:t>
      </w:r>
      <w:proofErr w:type="spellEnd"/>
      <w:r>
        <w:t xml:space="preserve">; </w:t>
      </w:r>
      <w:proofErr w:type="spellStart"/>
      <w:r>
        <w:t>one</w:t>
      </w:r>
      <w:proofErr w:type="spellEnd"/>
      <w:r>
        <w:t xml:space="preserve"> </w:t>
      </w:r>
      <w:proofErr w:type="spellStart"/>
      <w:r>
        <w:t>chapter</w:t>
      </w:r>
      <w:proofErr w:type="spellEnd"/>
      <w:r>
        <w:t xml:space="preserve"> </w:t>
      </w:r>
      <w:proofErr w:type="spellStart"/>
      <w:r>
        <w:t>with</w:t>
      </w:r>
      <w:proofErr w:type="spellEnd"/>
      <w:r>
        <w:t xml:space="preserve"> a </w:t>
      </w:r>
      <w:proofErr w:type="spellStart"/>
      <w:r>
        <w:t>descriptive</w:t>
      </w:r>
      <w:proofErr w:type="spellEnd"/>
      <w:r>
        <w:t xml:space="preserve"> data </w:t>
      </w:r>
      <w:proofErr w:type="spellStart"/>
      <w:r>
        <w:t>analysis</w:t>
      </w:r>
      <w:proofErr w:type="spellEnd"/>
      <w:r>
        <w:t xml:space="preserve">; as </w:t>
      </w:r>
      <w:proofErr w:type="spellStart"/>
      <w:r>
        <w:t>well</w:t>
      </w:r>
      <w:proofErr w:type="spellEnd"/>
      <w:r>
        <w:t xml:space="preserve"> as a </w:t>
      </w:r>
      <w:proofErr w:type="spellStart"/>
      <w:r>
        <w:t>discussion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achieved</w:t>
      </w:r>
      <w:proofErr w:type="spellEnd"/>
      <w:r>
        <w:t xml:space="preserve"> </w:t>
      </w:r>
      <w:proofErr w:type="spellStart"/>
      <w:r>
        <w:t>results</w:t>
      </w:r>
      <w:proofErr w:type="spellEnd"/>
      <w:r>
        <w:t xml:space="preserve">; </w:t>
      </w:r>
      <w:proofErr w:type="spellStart"/>
      <w:r>
        <w:t>and</w:t>
      </w:r>
      <w:proofErr w:type="spellEnd"/>
      <w:r>
        <w:t xml:space="preserve"> a </w:t>
      </w:r>
      <w:proofErr w:type="spellStart"/>
      <w:r>
        <w:t>conclusion</w:t>
      </w:r>
      <w:proofErr w:type="spellEnd"/>
      <w:r>
        <w:t xml:space="preserve"> </w:t>
      </w:r>
      <w:proofErr w:type="spellStart"/>
      <w:r>
        <w:t>comparing</w:t>
      </w:r>
      <w:proofErr w:type="spellEnd"/>
      <w:r>
        <w:t xml:space="preserve"> </w:t>
      </w:r>
      <w:proofErr w:type="spellStart"/>
      <w:r>
        <w:t>the</w:t>
      </w:r>
      <w:proofErr w:type="spellEnd"/>
      <w:r>
        <w:t xml:space="preserve"> </w:t>
      </w:r>
      <w:proofErr w:type="spellStart"/>
      <w:r>
        <w:t>presented</w:t>
      </w:r>
      <w:proofErr w:type="spellEnd"/>
      <w:r>
        <w:t xml:space="preserve"> data </w:t>
      </w:r>
      <w:proofErr w:type="spellStart"/>
      <w:r>
        <w:t>with</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objectives</w:t>
      </w:r>
      <w:proofErr w:type="spellEnd"/>
      <w:r>
        <w:t>.</w:t>
      </w:r>
    </w:p>
    <w:p w14:paraId="2281D639" w14:textId="191ED1B4" w:rsidR="008D521F" w:rsidRDefault="008D521F" w:rsidP="008D521F">
      <w:pPr>
        <w:spacing w:after="160" w:line="259" w:lineRule="auto"/>
        <w:ind w:firstLine="0"/>
        <w:jc w:val="left"/>
      </w:pPr>
    </w:p>
    <w:p w14:paraId="39C29CA6" w14:textId="77777777" w:rsidR="008D521F" w:rsidRDefault="008D521F" w:rsidP="008D521F">
      <w:pPr>
        <w:spacing w:after="160" w:line="259" w:lineRule="auto"/>
        <w:ind w:firstLine="0"/>
        <w:jc w:val="left"/>
      </w:pPr>
    </w:p>
    <w:p w14:paraId="78A9B5A9" w14:textId="77777777" w:rsidR="008D521F" w:rsidRDefault="008D521F" w:rsidP="008D521F">
      <w:pPr>
        <w:spacing w:after="160" w:line="259" w:lineRule="auto"/>
        <w:ind w:firstLine="0"/>
        <w:jc w:val="left"/>
      </w:pPr>
    </w:p>
    <w:p w14:paraId="42174E42" w14:textId="5B92A385" w:rsidR="004B5F74" w:rsidRDefault="004B5F74" w:rsidP="008D521F">
      <w:pPr>
        <w:spacing w:after="160" w:line="259" w:lineRule="auto"/>
        <w:ind w:firstLine="0"/>
        <w:jc w:val="left"/>
      </w:pPr>
    </w:p>
    <w:p w14:paraId="2398096C" w14:textId="1AAE417D" w:rsidR="00073560" w:rsidRDefault="00073560" w:rsidP="008D521F">
      <w:pPr>
        <w:spacing w:after="160" w:line="259" w:lineRule="auto"/>
        <w:ind w:firstLine="0"/>
        <w:jc w:val="left"/>
      </w:pPr>
    </w:p>
    <w:p w14:paraId="2A13164D" w14:textId="394B6329" w:rsidR="00073560" w:rsidRDefault="00073560" w:rsidP="008D521F">
      <w:pPr>
        <w:spacing w:after="160" w:line="259" w:lineRule="auto"/>
        <w:ind w:firstLine="0"/>
        <w:jc w:val="left"/>
      </w:pPr>
    </w:p>
    <w:p w14:paraId="1C27F7E9" w14:textId="445E5B38" w:rsidR="00073560" w:rsidRDefault="00073560" w:rsidP="008D521F">
      <w:pPr>
        <w:spacing w:after="160" w:line="259" w:lineRule="auto"/>
        <w:ind w:firstLine="0"/>
        <w:jc w:val="left"/>
      </w:pPr>
    </w:p>
    <w:p w14:paraId="72DE484F" w14:textId="5488FE27" w:rsidR="00073560" w:rsidRDefault="00073560" w:rsidP="008D521F">
      <w:pPr>
        <w:spacing w:after="160" w:line="259" w:lineRule="auto"/>
        <w:ind w:firstLine="0"/>
        <w:jc w:val="left"/>
      </w:pPr>
    </w:p>
    <w:p w14:paraId="268AF6F6" w14:textId="3C30F836" w:rsidR="00073560" w:rsidRDefault="00073560" w:rsidP="008D521F">
      <w:pPr>
        <w:spacing w:after="160" w:line="259" w:lineRule="auto"/>
        <w:ind w:firstLine="0"/>
        <w:jc w:val="left"/>
      </w:pPr>
    </w:p>
    <w:p w14:paraId="3DAEF5FA" w14:textId="7C1F40CC" w:rsidR="00073560" w:rsidRDefault="00073560" w:rsidP="008D521F">
      <w:pPr>
        <w:spacing w:after="160" w:line="259" w:lineRule="auto"/>
        <w:ind w:firstLine="0"/>
        <w:jc w:val="left"/>
      </w:pPr>
    </w:p>
    <w:p w14:paraId="5605CF2A" w14:textId="77777777" w:rsidR="00073560" w:rsidRDefault="00073560" w:rsidP="008D521F">
      <w:pPr>
        <w:spacing w:after="160" w:line="259" w:lineRule="auto"/>
        <w:ind w:firstLine="0"/>
        <w:jc w:val="left"/>
      </w:pPr>
    </w:p>
    <w:p w14:paraId="60FC19B1" w14:textId="77777777" w:rsidR="00312695" w:rsidRDefault="00312695" w:rsidP="008D521F">
      <w:pPr>
        <w:spacing w:after="160" w:line="259" w:lineRule="auto"/>
        <w:ind w:firstLine="0"/>
        <w:jc w:val="left"/>
      </w:pPr>
    </w:p>
    <w:p w14:paraId="388C2ABD" w14:textId="2F74CAE5" w:rsidR="004B5F74" w:rsidRDefault="004B5F74" w:rsidP="008D521F">
      <w:pPr>
        <w:spacing w:after="160" w:line="259" w:lineRule="auto"/>
        <w:ind w:firstLine="0"/>
        <w:jc w:val="left"/>
      </w:pPr>
    </w:p>
    <w:p w14:paraId="2E988EC1" w14:textId="77777777" w:rsidR="004B5F74" w:rsidRDefault="004B5F74" w:rsidP="008D521F">
      <w:pPr>
        <w:spacing w:after="160" w:line="259" w:lineRule="auto"/>
        <w:ind w:firstLine="0"/>
        <w:jc w:val="left"/>
      </w:pPr>
    </w:p>
    <w:sdt>
      <w:sdtPr>
        <w:id w:val="126597781"/>
        <w:docPartObj>
          <w:docPartGallery w:val="Table of Contents"/>
          <w:docPartUnique/>
        </w:docPartObj>
      </w:sdtPr>
      <w:sdtEndPr>
        <w:rPr>
          <w:bCs/>
        </w:rPr>
      </w:sdtEndPr>
      <w:sdtContent>
        <w:p w14:paraId="4B00245E" w14:textId="1107A405" w:rsidR="00546A39" w:rsidRPr="004924A0" w:rsidRDefault="000A0864" w:rsidP="004924A0">
          <w:pPr>
            <w:spacing w:after="160" w:line="259" w:lineRule="auto"/>
            <w:ind w:firstLine="0"/>
            <w:jc w:val="center"/>
            <w:rPr>
              <w:b/>
              <w:caps/>
              <w:lang w:eastAsia="pt-BR"/>
            </w:rPr>
          </w:pPr>
          <w:r w:rsidRPr="004924A0">
            <w:rPr>
              <w:b/>
            </w:rPr>
            <w:t>SUMÁRIO</w:t>
          </w:r>
        </w:p>
        <w:p w14:paraId="2059D453" w14:textId="77777777" w:rsidR="004B53C3" w:rsidRPr="004B53C3" w:rsidRDefault="004B53C3" w:rsidP="004B53C3">
          <w:pPr>
            <w:rPr>
              <w:lang w:eastAsia="pt-BR"/>
            </w:rPr>
          </w:pPr>
        </w:p>
        <w:p w14:paraId="7AF1EF3E" w14:textId="248E97E1" w:rsidR="004B5F74" w:rsidRDefault="00546A39">
          <w:pPr>
            <w:pStyle w:val="Sumrio1"/>
            <w:rPr>
              <w:rFonts w:asciiTheme="minorHAnsi" w:eastAsiaTheme="minorEastAsia" w:hAnsiTheme="minorHAnsi" w:cstheme="minorBidi"/>
              <w:b w:val="0"/>
              <w:color w:val="auto"/>
              <w:sz w:val="22"/>
              <w:szCs w:val="22"/>
              <w:shd w:val="clear" w:color="auto" w:fill="auto"/>
              <w:lang w:eastAsia="pt-BR"/>
            </w:rPr>
          </w:pPr>
          <w:r>
            <w:rPr>
              <w:bCs/>
            </w:rPr>
            <w:fldChar w:fldCharType="begin"/>
          </w:r>
          <w:r>
            <w:rPr>
              <w:bCs/>
            </w:rPr>
            <w:instrText xml:space="preserve"> TOC \o "1-3" \h \z \u </w:instrText>
          </w:r>
          <w:r>
            <w:rPr>
              <w:bCs/>
            </w:rPr>
            <w:fldChar w:fldCharType="separate"/>
          </w:r>
          <w:hyperlink w:anchor="_Toc16087686" w:history="1">
            <w:r w:rsidR="004B5F74" w:rsidRPr="000A77CF">
              <w:rPr>
                <w:rStyle w:val="Hyperlink"/>
              </w:rPr>
              <w:t>1. INTRODUÇÃO</w:t>
            </w:r>
            <w:r w:rsidR="004B5F74">
              <w:rPr>
                <w:webHidden/>
              </w:rPr>
              <w:tab/>
            </w:r>
            <w:r w:rsidR="004B5F74">
              <w:rPr>
                <w:webHidden/>
              </w:rPr>
              <w:fldChar w:fldCharType="begin"/>
            </w:r>
            <w:r w:rsidR="004B5F74">
              <w:rPr>
                <w:webHidden/>
              </w:rPr>
              <w:instrText xml:space="preserve"> PAGEREF _Toc16087686 \h </w:instrText>
            </w:r>
            <w:r w:rsidR="004B5F74">
              <w:rPr>
                <w:webHidden/>
              </w:rPr>
            </w:r>
            <w:r w:rsidR="004B5F74">
              <w:rPr>
                <w:webHidden/>
              </w:rPr>
              <w:fldChar w:fldCharType="separate"/>
            </w:r>
            <w:r w:rsidR="004B5F74">
              <w:rPr>
                <w:webHidden/>
              </w:rPr>
              <w:t>8</w:t>
            </w:r>
            <w:r w:rsidR="004B5F74">
              <w:rPr>
                <w:webHidden/>
              </w:rPr>
              <w:fldChar w:fldCharType="end"/>
            </w:r>
          </w:hyperlink>
        </w:p>
        <w:p w14:paraId="2E741290" w14:textId="3D804388" w:rsidR="004B5F74" w:rsidRDefault="004F3D28">
          <w:pPr>
            <w:pStyle w:val="Sumrio2"/>
            <w:rPr>
              <w:rFonts w:asciiTheme="minorHAnsi" w:hAnsiTheme="minorHAnsi" w:cstheme="minorBidi"/>
              <w:b w:val="0"/>
              <w:color w:val="auto"/>
              <w:sz w:val="22"/>
              <w:szCs w:val="22"/>
              <w:shd w:val="clear" w:color="auto" w:fill="auto"/>
            </w:rPr>
          </w:pPr>
          <w:hyperlink w:anchor="_Toc16087687" w:history="1">
            <w:r w:rsidR="004B5F74" w:rsidRPr="000A77CF">
              <w:rPr>
                <w:rStyle w:val="Hyperlink"/>
              </w:rPr>
              <w:t>1.1. Contextualização do tema</w:t>
            </w:r>
            <w:r w:rsidR="004B5F74">
              <w:rPr>
                <w:webHidden/>
              </w:rPr>
              <w:tab/>
            </w:r>
            <w:r w:rsidR="004B5F74">
              <w:rPr>
                <w:webHidden/>
              </w:rPr>
              <w:fldChar w:fldCharType="begin"/>
            </w:r>
            <w:r w:rsidR="004B5F74">
              <w:rPr>
                <w:webHidden/>
              </w:rPr>
              <w:instrText xml:space="preserve"> PAGEREF _Toc16087687 \h </w:instrText>
            </w:r>
            <w:r w:rsidR="004B5F74">
              <w:rPr>
                <w:webHidden/>
              </w:rPr>
            </w:r>
            <w:r w:rsidR="004B5F74">
              <w:rPr>
                <w:webHidden/>
              </w:rPr>
              <w:fldChar w:fldCharType="separate"/>
            </w:r>
            <w:r w:rsidR="004B5F74">
              <w:rPr>
                <w:webHidden/>
              </w:rPr>
              <w:t>8</w:t>
            </w:r>
            <w:r w:rsidR="004B5F74">
              <w:rPr>
                <w:webHidden/>
              </w:rPr>
              <w:fldChar w:fldCharType="end"/>
            </w:r>
          </w:hyperlink>
        </w:p>
        <w:p w14:paraId="35F8EDAA" w14:textId="4C9C4B2C" w:rsidR="004B5F74" w:rsidRDefault="004F3D28">
          <w:pPr>
            <w:pStyle w:val="Sumrio2"/>
            <w:rPr>
              <w:rFonts w:asciiTheme="minorHAnsi" w:hAnsiTheme="minorHAnsi" w:cstheme="minorBidi"/>
              <w:b w:val="0"/>
              <w:color w:val="auto"/>
              <w:sz w:val="22"/>
              <w:szCs w:val="22"/>
              <w:shd w:val="clear" w:color="auto" w:fill="auto"/>
            </w:rPr>
          </w:pPr>
          <w:hyperlink w:anchor="_Toc16087688" w:history="1">
            <w:r w:rsidR="004B5F74" w:rsidRPr="000A77CF">
              <w:rPr>
                <w:rStyle w:val="Hyperlink"/>
              </w:rPr>
              <w:t>1.2. Objetivos</w:t>
            </w:r>
            <w:r w:rsidR="004B5F74">
              <w:rPr>
                <w:webHidden/>
              </w:rPr>
              <w:tab/>
            </w:r>
            <w:r w:rsidR="004B5F74">
              <w:rPr>
                <w:webHidden/>
              </w:rPr>
              <w:fldChar w:fldCharType="begin"/>
            </w:r>
            <w:r w:rsidR="004B5F74">
              <w:rPr>
                <w:webHidden/>
              </w:rPr>
              <w:instrText xml:space="preserve"> PAGEREF _Toc16087688 \h </w:instrText>
            </w:r>
            <w:r w:rsidR="004B5F74">
              <w:rPr>
                <w:webHidden/>
              </w:rPr>
            </w:r>
            <w:r w:rsidR="004B5F74">
              <w:rPr>
                <w:webHidden/>
              </w:rPr>
              <w:fldChar w:fldCharType="separate"/>
            </w:r>
            <w:r w:rsidR="004B5F74">
              <w:rPr>
                <w:webHidden/>
              </w:rPr>
              <w:t>9</w:t>
            </w:r>
            <w:r w:rsidR="004B5F74">
              <w:rPr>
                <w:webHidden/>
              </w:rPr>
              <w:fldChar w:fldCharType="end"/>
            </w:r>
          </w:hyperlink>
        </w:p>
        <w:p w14:paraId="29C253F2" w14:textId="1B457807" w:rsidR="004B5F74" w:rsidRDefault="004F3D28">
          <w:pPr>
            <w:pStyle w:val="Sumrio2"/>
            <w:rPr>
              <w:rFonts w:asciiTheme="minorHAnsi" w:hAnsiTheme="minorHAnsi" w:cstheme="minorBidi"/>
              <w:b w:val="0"/>
              <w:color w:val="auto"/>
              <w:sz w:val="22"/>
              <w:szCs w:val="22"/>
              <w:shd w:val="clear" w:color="auto" w:fill="auto"/>
            </w:rPr>
          </w:pPr>
          <w:hyperlink w:anchor="_Toc16087689" w:history="1">
            <w:r w:rsidR="004B5F74" w:rsidRPr="000A77CF">
              <w:rPr>
                <w:rStyle w:val="Hyperlink"/>
              </w:rPr>
              <w:t>1.3. Revisão bibliográfica sobre os fundamentos do processo de comunicação e a relação com o conceito de transparência</w:t>
            </w:r>
            <w:r w:rsidR="004B5F74">
              <w:rPr>
                <w:webHidden/>
              </w:rPr>
              <w:tab/>
            </w:r>
            <w:r w:rsidR="004B5F74">
              <w:rPr>
                <w:webHidden/>
              </w:rPr>
              <w:fldChar w:fldCharType="begin"/>
            </w:r>
            <w:r w:rsidR="004B5F74">
              <w:rPr>
                <w:webHidden/>
              </w:rPr>
              <w:instrText xml:space="preserve"> PAGEREF _Toc16087689 \h </w:instrText>
            </w:r>
            <w:r w:rsidR="004B5F74">
              <w:rPr>
                <w:webHidden/>
              </w:rPr>
            </w:r>
            <w:r w:rsidR="004B5F74">
              <w:rPr>
                <w:webHidden/>
              </w:rPr>
              <w:fldChar w:fldCharType="separate"/>
            </w:r>
            <w:r w:rsidR="004B5F74">
              <w:rPr>
                <w:webHidden/>
              </w:rPr>
              <w:t>9</w:t>
            </w:r>
            <w:r w:rsidR="004B5F74">
              <w:rPr>
                <w:webHidden/>
              </w:rPr>
              <w:fldChar w:fldCharType="end"/>
            </w:r>
          </w:hyperlink>
        </w:p>
        <w:p w14:paraId="1F1B45CE" w14:textId="76B001E6"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690" w:history="1">
            <w:r w:rsidR="004B5F74" w:rsidRPr="000A77CF">
              <w:rPr>
                <w:rStyle w:val="Hyperlink"/>
                <w:noProof/>
              </w:rPr>
              <w:t>1.3.1. Transparência como abertura do Estado à sociedade e a limitação da teoria matemática de comunicação</w:t>
            </w:r>
            <w:r w:rsidR="004B5F74">
              <w:rPr>
                <w:noProof/>
                <w:webHidden/>
              </w:rPr>
              <w:tab/>
            </w:r>
            <w:r w:rsidR="004B5F74">
              <w:rPr>
                <w:noProof/>
                <w:webHidden/>
              </w:rPr>
              <w:fldChar w:fldCharType="begin"/>
            </w:r>
            <w:r w:rsidR="004B5F74">
              <w:rPr>
                <w:noProof/>
                <w:webHidden/>
              </w:rPr>
              <w:instrText xml:space="preserve"> PAGEREF _Toc16087690 \h </w:instrText>
            </w:r>
            <w:r w:rsidR="004B5F74">
              <w:rPr>
                <w:noProof/>
                <w:webHidden/>
              </w:rPr>
            </w:r>
            <w:r w:rsidR="004B5F74">
              <w:rPr>
                <w:noProof/>
                <w:webHidden/>
              </w:rPr>
              <w:fldChar w:fldCharType="separate"/>
            </w:r>
            <w:r w:rsidR="004B5F74">
              <w:rPr>
                <w:noProof/>
                <w:webHidden/>
              </w:rPr>
              <w:t>10</w:t>
            </w:r>
            <w:r w:rsidR="004B5F74">
              <w:rPr>
                <w:noProof/>
                <w:webHidden/>
              </w:rPr>
              <w:fldChar w:fldCharType="end"/>
            </w:r>
          </w:hyperlink>
        </w:p>
        <w:p w14:paraId="7451AFF9" w14:textId="18F386AF"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691" w:history="1">
            <w:r w:rsidR="004B5F74" w:rsidRPr="000A77CF">
              <w:rPr>
                <w:rStyle w:val="Hyperlink"/>
                <w:noProof/>
              </w:rPr>
              <w:t>1.3.2 Transparência como inteligibilidade do conteúdo e a introdução do receptor na teoria da comunicação</w:t>
            </w:r>
            <w:r w:rsidR="004B5F74">
              <w:rPr>
                <w:noProof/>
                <w:webHidden/>
              </w:rPr>
              <w:tab/>
            </w:r>
            <w:r w:rsidR="004B5F74">
              <w:rPr>
                <w:noProof/>
                <w:webHidden/>
              </w:rPr>
              <w:fldChar w:fldCharType="begin"/>
            </w:r>
            <w:r w:rsidR="004B5F74">
              <w:rPr>
                <w:noProof/>
                <w:webHidden/>
              </w:rPr>
              <w:instrText xml:space="preserve"> PAGEREF _Toc16087691 \h </w:instrText>
            </w:r>
            <w:r w:rsidR="004B5F74">
              <w:rPr>
                <w:noProof/>
                <w:webHidden/>
              </w:rPr>
            </w:r>
            <w:r w:rsidR="004B5F74">
              <w:rPr>
                <w:noProof/>
                <w:webHidden/>
              </w:rPr>
              <w:fldChar w:fldCharType="separate"/>
            </w:r>
            <w:r w:rsidR="004B5F74">
              <w:rPr>
                <w:noProof/>
                <w:webHidden/>
              </w:rPr>
              <w:t>13</w:t>
            </w:r>
            <w:r w:rsidR="004B5F74">
              <w:rPr>
                <w:noProof/>
                <w:webHidden/>
              </w:rPr>
              <w:fldChar w:fldCharType="end"/>
            </w:r>
          </w:hyperlink>
        </w:p>
        <w:p w14:paraId="7CD8CFE0" w14:textId="786CE6F8"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692" w:history="1">
            <w:r w:rsidR="004B5F74" w:rsidRPr="000A77CF">
              <w:rPr>
                <w:rStyle w:val="Hyperlink"/>
                <w:noProof/>
              </w:rPr>
              <w:t>1.3.3. Informação como comunicação do conhecimento</w:t>
            </w:r>
            <w:r w:rsidR="004B5F74">
              <w:rPr>
                <w:noProof/>
                <w:webHidden/>
              </w:rPr>
              <w:tab/>
            </w:r>
            <w:r w:rsidR="004B5F74">
              <w:rPr>
                <w:noProof/>
                <w:webHidden/>
              </w:rPr>
              <w:fldChar w:fldCharType="begin"/>
            </w:r>
            <w:r w:rsidR="004B5F74">
              <w:rPr>
                <w:noProof/>
                <w:webHidden/>
              </w:rPr>
              <w:instrText xml:space="preserve"> PAGEREF _Toc16087692 \h </w:instrText>
            </w:r>
            <w:r w:rsidR="004B5F74">
              <w:rPr>
                <w:noProof/>
                <w:webHidden/>
              </w:rPr>
            </w:r>
            <w:r w:rsidR="004B5F74">
              <w:rPr>
                <w:noProof/>
                <w:webHidden/>
              </w:rPr>
              <w:fldChar w:fldCharType="separate"/>
            </w:r>
            <w:r w:rsidR="004B5F74">
              <w:rPr>
                <w:noProof/>
                <w:webHidden/>
              </w:rPr>
              <w:t>14</w:t>
            </w:r>
            <w:r w:rsidR="004B5F74">
              <w:rPr>
                <w:noProof/>
                <w:webHidden/>
              </w:rPr>
              <w:fldChar w:fldCharType="end"/>
            </w:r>
          </w:hyperlink>
        </w:p>
        <w:p w14:paraId="24ABBE49" w14:textId="31D5717B" w:rsidR="004B5F74" w:rsidRDefault="004F3D28">
          <w:pPr>
            <w:pStyle w:val="Sumrio2"/>
            <w:rPr>
              <w:rFonts w:asciiTheme="minorHAnsi" w:hAnsiTheme="minorHAnsi" w:cstheme="minorBidi"/>
              <w:b w:val="0"/>
              <w:color w:val="auto"/>
              <w:sz w:val="22"/>
              <w:szCs w:val="22"/>
              <w:shd w:val="clear" w:color="auto" w:fill="auto"/>
            </w:rPr>
          </w:pPr>
          <w:hyperlink w:anchor="_Toc16087693" w:history="1">
            <w:r w:rsidR="004B5F74" w:rsidRPr="000A77CF">
              <w:rPr>
                <w:rStyle w:val="Hyperlink"/>
              </w:rPr>
              <w:t>1.4. Justificativa: relevância e contribuição</w:t>
            </w:r>
            <w:r w:rsidR="004B5F74">
              <w:rPr>
                <w:webHidden/>
              </w:rPr>
              <w:tab/>
            </w:r>
            <w:r w:rsidR="004B5F74">
              <w:rPr>
                <w:webHidden/>
              </w:rPr>
              <w:fldChar w:fldCharType="begin"/>
            </w:r>
            <w:r w:rsidR="004B5F74">
              <w:rPr>
                <w:webHidden/>
              </w:rPr>
              <w:instrText xml:space="preserve"> PAGEREF _Toc16087693 \h </w:instrText>
            </w:r>
            <w:r w:rsidR="004B5F74">
              <w:rPr>
                <w:webHidden/>
              </w:rPr>
            </w:r>
            <w:r w:rsidR="004B5F74">
              <w:rPr>
                <w:webHidden/>
              </w:rPr>
              <w:fldChar w:fldCharType="separate"/>
            </w:r>
            <w:r w:rsidR="004B5F74">
              <w:rPr>
                <w:webHidden/>
              </w:rPr>
              <w:t>17</w:t>
            </w:r>
            <w:r w:rsidR="004B5F74">
              <w:rPr>
                <w:webHidden/>
              </w:rPr>
              <w:fldChar w:fldCharType="end"/>
            </w:r>
          </w:hyperlink>
        </w:p>
        <w:p w14:paraId="6BAFBE60" w14:textId="6E5D2F45" w:rsidR="004B5F74" w:rsidRDefault="004F3D28">
          <w:pPr>
            <w:pStyle w:val="Sumrio1"/>
            <w:rPr>
              <w:rFonts w:asciiTheme="minorHAnsi" w:eastAsiaTheme="minorEastAsia" w:hAnsiTheme="minorHAnsi" w:cstheme="minorBidi"/>
              <w:b w:val="0"/>
              <w:color w:val="auto"/>
              <w:sz w:val="22"/>
              <w:szCs w:val="22"/>
              <w:shd w:val="clear" w:color="auto" w:fill="auto"/>
              <w:lang w:eastAsia="pt-BR"/>
            </w:rPr>
          </w:pPr>
          <w:hyperlink w:anchor="_Toc16087694" w:history="1">
            <w:r w:rsidR="004B5F74" w:rsidRPr="000A77CF">
              <w:rPr>
                <w:rStyle w:val="Hyperlink"/>
              </w:rPr>
              <w:t xml:space="preserve">2. </w:t>
            </w:r>
            <w:r w:rsidR="009E4FCA">
              <w:rPr>
                <w:rStyle w:val="Hyperlink"/>
              </w:rPr>
              <w:t>METODOLOGIA</w:t>
            </w:r>
            <w:r w:rsidR="004B5F74">
              <w:rPr>
                <w:webHidden/>
              </w:rPr>
              <w:tab/>
            </w:r>
            <w:r w:rsidR="004B5F74">
              <w:rPr>
                <w:webHidden/>
              </w:rPr>
              <w:fldChar w:fldCharType="begin"/>
            </w:r>
            <w:r w:rsidR="004B5F74">
              <w:rPr>
                <w:webHidden/>
              </w:rPr>
              <w:instrText xml:space="preserve"> PAGEREF _Toc16087694 \h </w:instrText>
            </w:r>
            <w:r w:rsidR="004B5F74">
              <w:rPr>
                <w:webHidden/>
              </w:rPr>
            </w:r>
            <w:r w:rsidR="004B5F74">
              <w:rPr>
                <w:webHidden/>
              </w:rPr>
              <w:fldChar w:fldCharType="separate"/>
            </w:r>
            <w:r w:rsidR="004B5F74">
              <w:rPr>
                <w:webHidden/>
              </w:rPr>
              <w:t>18</w:t>
            </w:r>
            <w:r w:rsidR="004B5F74">
              <w:rPr>
                <w:webHidden/>
              </w:rPr>
              <w:fldChar w:fldCharType="end"/>
            </w:r>
          </w:hyperlink>
        </w:p>
        <w:p w14:paraId="50274A22" w14:textId="332D3B32" w:rsidR="004B5F74" w:rsidRDefault="004F3D28">
          <w:pPr>
            <w:pStyle w:val="Sumrio1"/>
            <w:rPr>
              <w:rFonts w:asciiTheme="minorHAnsi" w:eastAsiaTheme="minorEastAsia" w:hAnsiTheme="minorHAnsi" w:cstheme="minorBidi"/>
              <w:b w:val="0"/>
              <w:color w:val="auto"/>
              <w:sz w:val="22"/>
              <w:szCs w:val="22"/>
              <w:shd w:val="clear" w:color="auto" w:fill="auto"/>
              <w:lang w:eastAsia="pt-BR"/>
            </w:rPr>
          </w:pPr>
          <w:hyperlink w:anchor="_Toc16087695" w:history="1">
            <w:r w:rsidR="004B5F74" w:rsidRPr="000A77CF">
              <w:rPr>
                <w:rStyle w:val="Hyperlink"/>
              </w:rPr>
              <w:t>3. PANORAMA ATUAL DOS RELATÓRIOS</w:t>
            </w:r>
            <w:r w:rsidR="004B5F74">
              <w:rPr>
                <w:webHidden/>
              </w:rPr>
              <w:tab/>
            </w:r>
            <w:r w:rsidR="004B5F74">
              <w:rPr>
                <w:webHidden/>
              </w:rPr>
              <w:fldChar w:fldCharType="begin"/>
            </w:r>
            <w:r w:rsidR="004B5F74">
              <w:rPr>
                <w:webHidden/>
              </w:rPr>
              <w:instrText xml:space="preserve"> PAGEREF _Toc16087695 \h </w:instrText>
            </w:r>
            <w:r w:rsidR="004B5F74">
              <w:rPr>
                <w:webHidden/>
              </w:rPr>
            </w:r>
            <w:r w:rsidR="004B5F74">
              <w:rPr>
                <w:webHidden/>
              </w:rPr>
              <w:fldChar w:fldCharType="separate"/>
            </w:r>
            <w:r w:rsidR="004B5F74">
              <w:rPr>
                <w:webHidden/>
              </w:rPr>
              <w:t>20</w:t>
            </w:r>
            <w:r w:rsidR="004B5F74">
              <w:rPr>
                <w:webHidden/>
              </w:rPr>
              <w:fldChar w:fldCharType="end"/>
            </w:r>
          </w:hyperlink>
        </w:p>
        <w:p w14:paraId="0E53CB81" w14:textId="2435B661" w:rsidR="004B5F74" w:rsidRDefault="004F3D28">
          <w:pPr>
            <w:pStyle w:val="Sumrio2"/>
            <w:rPr>
              <w:rFonts w:asciiTheme="minorHAnsi" w:hAnsiTheme="minorHAnsi" w:cstheme="minorBidi"/>
              <w:b w:val="0"/>
              <w:color w:val="auto"/>
              <w:sz w:val="22"/>
              <w:szCs w:val="22"/>
              <w:shd w:val="clear" w:color="auto" w:fill="auto"/>
            </w:rPr>
          </w:pPr>
          <w:hyperlink w:anchor="_Toc16087696" w:history="1">
            <w:r w:rsidR="004B5F74" w:rsidRPr="000A77CF">
              <w:rPr>
                <w:rStyle w:val="Hyperlink"/>
              </w:rPr>
              <w:t>3.1. Resultado do Tesouro Nacional</w:t>
            </w:r>
            <w:r w:rsidR="004B5F74">
              <w:rPr>
                <w:webHidden/>
              </w:rPr>
              <w:tab/>
            </w:r>
            <w:r w:rsidR="004B5F74">
              <w:rPr>
                <w:webHidden/>
              </w:rPr>
              <w:fldChar w:fldCharType="begin"/>
            </w:r>
            <w:r w:rsidR="004B5F74">
              <w:rPr>
                <w:webHidden/>
              </w:rPr>
              <w:instrText xml:space="preserve"> PAGEREF _Toc16087696 \h </w:instrText>
            </w:r>
            <w:r w:rsidR="004B5F74">
              <w:rPr>
                <w:webHidden/>
              </w:rPr>
            </w:r>
            <w:r w:rsidR="004B5F74">
              <w:rPr>
                <w:webHidden/>
              </w:rPr>
              <w:fldChar w:fldCharType="separate"/>
            </w:r>
            <w:r w:rsidR="004B5F74">
              <w:rPr>
                <w:webHidden/>
              </w:rPr>
              <w:t>20</w:t>
            </w:r>
            <w:r w:rsidR="004B5F74">
              <w:rPr>
                <w:webHidden/>
              </w:rPr>
              <w:fldChar w:fldCharType="end"/>
            </w:r>
          </w:hyperlink>
        </w:p>
        <w:p w14:paraId="3FB2BC7A" w14:textId="1475B6CE"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697" w:history="1">
            <w:r w:rsidR="004B5F74" w:rsidRPr="000A77CF">
              <w:rPr>
                <w:rStyle w:val="Hyperlink"/>
                <w:noProof/>
              </w:rPr>
              <w:t>3.1.1. Contexto: MEFP 1986</w:t>
            </w:r>
            <w:r w:rsidR="004B5F74">
              <w:rPr>
                <w:noProof/>
                <w:webHidden/>
              </w:rPr>
              <w:tab/>
            </w:r>
            <w:r w:rsidR="004B5F74">
              <w:rPr>
                <w:noProof/>
                <w:webHidden/>
              </w:rPr>
              <w:fldChar w:fldCharType="begin"/>
            </w:r>
            <w:r w:rsidR="004B5F74">
              <w:rPr>
                <w:noProof/>
                <w:webHidden/>
              </w:rPr>
              <w:instrText xml:space="preserve"> PAGEREF _Toc16087697 \h </w:instrText>
            </w:r>
            <w:r w:rsidR="004B5F74">
              <w:rPr>
                <w:noProof/>
                <w:webHidden/>
              </w:rPr>
            </w:r>
            <w:r w:rsidR="004B5F74">
              <w:rPr>
                <w:noProof/>
                <w:webHidden/>
              </w:rPr>
              <w:fldChar w:fldCharType="separate"/>
            </w:r>
            <w:r w:rsidR="004B5F74">
              <w:rPr>
                <w:noProof/>
                <w:webHidden/>
              </w:rPr>
              <w:t>20</w:t>
            </w:r>
            <w:r w:rsidR="004B5F74">
              <w:rPr>
                <w:noProof/>
                <w:webHidden/>
              </w:rPr>
              <w:fldChar w:fldCharType="end"/>
            </w:r>
          </w:hyperlink>
        </w:p>
        <w:p w14:paraId="46F55908" w14:textId="2BE61E63"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698" w:history="1">
            <w:r w:rsidR="004B5F74" w:rsidRPr="000A77CF">
              <w:rPr>
                <w:rStyle w:val="Hyperlink"/>
                <w:noProof/>
              </w:rPr>
              <w:t>3.1.2 Principais características</w:t>
            </w:r>
            <w:r w:rsidR="004B5F74">
              <w:rPr>
                <w:noProof/>
                <w:webHidden/>
              </w:rPr>
              <w:tab/>
            </w:r>
            <w:r w:rsidR="004B5F74">
              <w:rPr>
                <w:noProof/>
                <w:webHidden/>
              </w:rPr>
              <w:fldChar w:fldCharType="begin"/>
            </w:r>
            <w:r w:rsidR="004B5F74">
              <w:rPr>
                <w:noProof/>
                <w:webHidden/>
              </w:rPr>
              <w:instrText xml:space="preserve"> PAGEREF _Toc16087698 \h </w:instrText>
            </w:r>
            <w:r w:rsidR="004B5F74">
              <w:rPr>
                <w:noProof/>
                <w:webHidden/>
              </w:rPr>
            </w:r>
            <w:r w:rsidR="004B5F74">
              <w:rPr>
                <w:noProof/>
                <w:webHidden/>
              </w:rPr>
              <w:fldChar w:fldCharType="separate"/>
            </w:r>
            <w:r w:rsidR="004B5F74">
              <w:rPr>
                <w:noProof/>
                <w:webHidden/>
              </w:rPr>
              <w:t>21</w:t>
            </w:r>
            <w:r w:rsidR="004B5F74">
              <w:rPr>
                <w:noProof/>
                <w:webHidden/>
              </w:rPr>
              <w:fldChar w:fldCharType="end"/>
            </w:r>
          </w:hyperlink>
        </w:p>
        <w:p w14:paraId="4D655109" w14:textId="435FF34A"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699" w:history="1">
            <w:r w:rsidR="004B5F74" w:rsidRPr="000A77CF">
              <w:rPr>
                <w:rStyle w:val="Hyperlink"/>
                <w:noProof/>
              </w:rPr>
              <w:t>3.1.3. Operacionalização e estrutura</w:t>
            </w:r>
            <w:r w:rsidR="004B5F74">
              <w:rPr>
                <w:noProof/>
                <w:webHidden/>
              </w:rPr>
              <w:tab/>
            </w:r>
            <w:r w:rsidR="004B5F74">
              <w:rPr>
                <w:noProof/>
                <w:webHidden/>
              </w:rPr>
              <w:fldChar w:fldCharType="begin"/>
            </w:r>
            <w:r w:rsidR="004B5F74">
              <w:rPr>
                <w:noProof/>
                <w:webHidden/>
              </w:rPr>
              <w:instrText xml:space="preserve"> PAGEREF _Toc16087699 \h </w:instrText>
            </w:r>
            <w:r w:rsidR="004B5F74">
              <w:rPr>
                <w:noProof/>
                <w:webHidden/>
              </w:rPr>
            </w:r>
            <w:r w:rsidR="004B5F74">
              <w:rPr>
                <w:noProof/>
                <w:webHidden/>
              </w:rPr>
              <w:fldChar w:fldCharType="separate"/>
            </w:r>
            <w:r w:rsidR="004B5F74">
              <w:rPr>
                <w:noProof/>
                <w:webHidden/>
              </w:rPr>
              <w:t>22</w:t>
            </w:r>
            <w:r w:rsidR="004B5F74">
              <w:rPr>
                <w:noProof/>
                <w:webHidden/>
              </w:rPr>
              <w:fldChar w:fldCharType="end"/>
            </w:r>
          </w:hyperlink>
        </w:p>
        <w:p w14:paraId="42E2AAE6" w14:textId="78C9EE0A" w:rsidR="004B5F74" w:rsidRDefault="004F3D28">
          <w:pPr>
            <w:pStyle w:val="Sumrio2"/>
            <w:rPr>
              <w:rFonts w:asciiTheme="minorHAnsi" w:hAnsiTheme="minorHAnsi" w:cstheme="minorBidi"/>
              <w:b w:val="0"/>
              <w:color w:val="auto"/>
              <w:sz w:val="22"/>
              <w:szCs w:val="22"/>
              <w:shd w:val="clear" w:color="auto" w:fill="auto"/>
            </w:rPr>
          </w:pPr>
          <w:hyperlink w:anchor="_Toc16087700" w:history="1">
            <w:r w:rsidR="004B5F74" w:rsidRPr="000A77CF">
              <w:rPr>
                <w:rStyle w:val="Hyperlink"/>
              </w:rPr>
              <w:t>3.2. Estatísticas Fiscais Trimestrais do Governo Geral</w:t>
            </w:r>
            <w:r w:rsidR="004B5F74">
              <w:rPr>
                <w:webHidden/>
              </w:rPr>
              <w:tab/>
            </w:r>
            <w:r w:rsidR="004B5F74">
              <w:rPr>
                <w:webHidden/>
              </w:rPr>
              <w:fldChar w:fldCharType="begin"/>
            </w:r>
            <w:r w:rsidR="004B5F74">
              <w:rPr>
                <w:webHidden/>
              </w:rPr>
              <w:instrText xml:space="preserve"> PAGEREF _Toc16087700 \h </w:instrText>
            </w:r>
            <w:r w:rsidR="004B5F74">
              <w:rPr>
                <w:webHidden/>
              </w:rPr>
            </w:r>
            <w:r w:rsidR="004B5F74">
              <w:rPr>
                <w:webHidden/>
              </w:rPr>
              <w:fldChar w:fldCharType="separate"/>
            </w:r>
            <w:r w:rsidR="004B5F74">
              <w:rPr>
                <w:webHidden/>
              </w:rPr>
              <w:t>25</w:t>
            </w:r>
            <w:r w:rsidR="004B5F74">
              <w:rPr>
                <w:webHidden/>
              </w:rPr>
              <w:fldChar w:fldCharType="end"/>
            </w:r>
          </w:hyperlink>
        </w:p>
        <w:p w14:paraId="0CC31139" w14:textId="6058D6D2"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701" w:history="1">
            <w:r w:rsidR="004B5F74" w:rsidRPr="000A77CF">
              <w:rPr>
                <w:rStyle w:val="Hyperlink"/>
                <w:noProof/>
              </w:rPr>
              <w:t>3.2.1 Contexto: MEFP 2001 e a atualização em 2014</w:t>
            </w:r>
            <w:r w:rsidR="004B5F74">
              <w:rPr>
                <w:noProof/>
                <w:webHidden/>
              </w:rPr>
              <w:tab/>
            </w:r>
            <w:r w:rsidR="004B5F74">
              <w:rPr>
                <w:noProof/>
                <w:webHidden/>
              </w:rPr>
              <w:fldChar w:fldCharType="begin"/>
            </w:r>
            <w:r w:rsidR="004B5F74">
              <w:rPr>
                <w:noProof/>
                <w:webHidden/>
              </w:rPr>
              <w:instrText xml:space="preserve"> PAGEREF _Toc16087701 \h </w:instrText>
            </w:r>
            <w:r w:rsidR="004B5F74">
              <w:rPr>
                <w:noProof/>
                <w:webHidden/>
              </w:rPr>
            </w:r>
            <w:r w:rsidR="004B5F74">
              <w:rPr>
                <w:noProof/>
                <w:webHidden/>
              </w:rPr>
              <w:fldChar w:fldCharType="separate"/>
            </w:r>
            <w:r w:rsidR="004B5F74">
              <w:rPr>
                <w:noProof/>
                <w:webHidden/>
              </w:rPr>
              <w:t>25</w:t>
            </w:r>
            <w:r w:rsidR="004B5F74">
              <w:rPr>
                <w:noProof/>
                <w:webHidden/>
              </w:rPr>
              <w:fldChar w:fldCharType="end"/>
            </w:r>
          </w:hyperlink>
        </w:p>
        <w:p w14:paraId="32787F1D" w14:textId="16A04C08"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702" w:history="1">
            <w:r w:rsidR="004B5F74" w:rsidRPr="000A77CF">
              <w:rPr>
                <w:rStyle w:val="Hyperlink"/>
                <w:noProof/>
              </w:rPr>
              <w:t>3.2.2 Principais características</w:t>
            </w:r>
            <w:r w:rsidR="004B5F74">
              <w:rPr>
                <w:noProof/>
                <w:webHidden/>
              </w:rPr>
              <w:tab/>
            </w:r>
            <w:r w:rsidR="004B5F74">
              <w:rPr>
                <w:noProof/>
                <w:webHidden/>
              </w:rPr>
              <w:fldChar w:fldCharType="begin"/>
            </w:r>
            <w:r w:rsidR="004B5F74">
              <w:rPr>
                <w:noProof/>
                <w:webHidden/>
              </w:rPr>
              <w:instrText xml:space="preserve"> PAGEREF _Toc16087702 \h </w:instrText>
            </w:r>
            <w:r w:rsidR="004B5F74">
              <w:rPr>
                <w:noProof/>
                <w:webHidden/>
              </w:rPr>
            </w:r>
            <w:r w:rsidR="004B5F74">
              <w:rPr>
                <w:noProof/>
                <w:webHidden/>
              </w:rPr>
              <w:fldChar w:fldCharType="separate"/>
            </w:r>
            <w:r w:rsidR="004B5F74">
              <w:rPr>
                <w:noProof/>
                <w:webHidden/>
              </w:rPr>
              <w:t>27</w:t>
            </w:r>
            <w:r w:rsidR="004B5F74">
              <w:rPr>
                <w:noProof/>
                <w:webHidden/>
              </w:rPr>
              <w:fldChar w:fldCharType="end"/>
            </w:r>
          </w:hyperlink>
        </w:p>
        <w:p w14:paraId="53B15958" w14:textId="1A91A15D"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703" w:history="1">
            <w:r w:rsidR="004B5F74" w:rsidRPr="000A77CF">
              <w:rPr>
                <w:rStyle w:val="Hyperlink"/>
                <w:noProof/>
              </w:rPr>
              <w:t>3.2.3. Operacionalização e estrutura</w:t>
            </w:r>
            <w:r w:rsidR="004B5F74">
              <w:rPr>
                <w:noProof/>
                <w:webHidden/>
              </w:rPr>
              <w:tab/>
            </w:r>
            <w:r w:rsidR="004B5F74">
              <w:rPr>
                <w:noProof/>
                <w:webHidden/>
              </w:rPr>
              <w:fldChar w:fldCharType="begin"/>
            </w:r>
            <w:r w:rsidR="004B5F74">
              <w:rPr>
                <w:noProof/>
                <w:webHidden/>
              </w:rPr>
              <w:instrText xml:space="preserve"> PAGEREF _Toc16087703 \h </w:instrText>
            </w:r>
            <w:r w:rsidR="004B5F74">
              <w:rPr>
                <w:noProof/>
                <w:webHidden/>
              </w:rPr>
            </w:r>
            <w:r w:rsidR="004B5F74">
              <w:rPr>
                <w:noProof/>
                <w:webHidden/>
              </w:rPr>
              <w:fldChar w:fldCharType="separate"/>
            </w:r>
            <w:r w:rsidR="004B5F74">
              <w:rPr>
                <w:noProof/>
                <w:webHidden/>
              </w:rPr>
              <w:t>28</w:t>
            </w:r>
            <w:r w:rsidR="004B5F74">
              <w:rPr>
                <w:noProof/>
                <w:webHidden/>
              </w:rPr>
              <w:fldChar w:fldCharType="end"/>
            </w:r>
          </w:hyperlink>
        </w:p>
        <w:p w14:paraId="55BD6EB1" w14:textId="169E1906" w:rsidR="004B5F74" w:rsidRDefault="004F3D28">
          <w:pPr>
            <w:pStyle w:val="Sumrio2"/>
            <w:rPr>
              <w:rFonts w:asciiTheme="minorHAnsi" w:hAnsiTheme="minorHAnsi" w:cstheme="minorBidi"/>
              <w:b w:val="0"/>
              <w:color w:val="auto"/>
              <w:sz w:val="22"/>
              <w:szCs w:val="22"/>
              <w:shd w:val="clear" w:color="auto" w:fill="auto"/>
            </w:rPr>
          </w:pPr>
          <w:hyperlink w:anchor="_Toc16087704" w:history="1">
            <w:r w:rsidR="004B5F74" w:rsidRPr="000A77CF">
              <w:rPr>
                <w:rStyle w:val="Hyperlink"/>
              </w:rPr>
              <w:t>3.3. Boletim de Finanças dos Entes Subnacionais</w:t>
            </w:r>
            <w:r w:rsidR="004B5F74">
              <w:rPr>
                <w:webHidden/>
              </w:rPr>
              <w:tab/>
            </w:r>
            <w:r w:rsidR="004B5F74">
              <w:rPr>
                <w:webHidden/>
              </w:rPr>
              <w:fldChar w:fldCharType="begin"/>
            </w:r>
            <w:r w:rsidR="004B5F74">
              <w:rPr>
                <w:webHidden/>
              </w:rPr>
              <w:instrText xml:space="preserve"> PAGEREF _Toc16087704 \h </w:instrText>
            </w:r>
            <w:r w:rsidR="004B5F74">
              <w:rPr>
                <w:webHidden/>
              </w:rPr>
            </w:r>
            <w:r w:rsidR="004B5F74">
              <w:rPr>
                <w:webHidden/>
              </w:rPr>
              <w:fldChar w:fldCharType="separate"/>
            </w:r>
            <w:r w:rsidR="004B5F74">
              <w:rPr>
                <w:webHidden/>
              </w:rPr>
              <w:t>32</w:t>
            </w:r>
            <w:r w:rsidR="004B5F74">
              <w:rPr>
                <w:webHidden/>
              </w:rPr>
              <w:fldChar w:fldCharType="end"/>
            </w:r>
          </w:hyperlink>
        </w:p>
        <w:p w14:paraId="5F4C6174" w14:textId="4762EF86"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705" w:history="1">
            <w:r w:rsidR="004B5F74" w:rsidRPr="000A77CF">
              <w:rPr>
                <w:rStyle w:val="Hyperlink"/>
                <w:noProof/>
              </w:rPr>
              <w:t>3.3.1 Contexto: Programa de Apoio à Restruturação e ao Ajuste Fiscal dos Estados (PAF)</w:t>
            </w:r>
            <w:r w:rsidR="004B5F74">
              <w:rPr>
                <w:noProof/>
                <w:webHidden/>
              </w:rPr>
              <w:tab/>
            </w:r>
            <w:r w:rsidR="004B5F74">
              <w:rPr>
                <w:noProof/>
                <w:webHidden/>
              </w:rPr>
              <w:fldChar w:fldCharType="begin"/>
            </w:r>
            <w:r w:rsidR="004B5F74">
              <w:rPr>
                <w:noProof/>
                <w:webHidden/>
              </w:rPr>
              <w:instrText xml:space="preserve"> PAGEREF _Toc16087705 \h </w:instrText>
            </w:r>
            <w:r w:rsidR="004B5F74">
              <w:rPr>
                <w:noProof/>
                <w:webHidden/>
              </w:rPr>
            </w:r>
            <w:r w:rsidR="004B5F74">
              <w:rPr>
                <w:noProof/>
                <w:webHidden/>
              </w:rPr>
              <w:fldChar w:fldCharType="separate"/>
            </w:r>
            <w:r w:rsidR="004B5F74">
              <w:rPr>
                <w:noProof/>
                <w:webHidden/>
              </w:rPr>
              <w:t>33</w:t>
            </w:r>
            <w:r w:rsidR="004B5F74">
              <w:rPr>
                <w:noProof/>
                <w:webHidden/>
              </w:rPr>
              <w:fldChar w:fldCharType="end"/>
            </w:r>
          </w:hyperlink>
        </w:p>
        <w:p w14:paraId="1043813A" w14:textId="7BBEFF64"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706" w:history="1">
            <w:r w:rsidR="004B5F74" w:rsidRPr="000A77CF">
              <w:rPr>
                <w:rStyle w:val="Hyperlink"/>
                <w:noProof/>
              </w:rPr>
              <w:t>3.3.2 Operacionalização</w:t>
            </w:r>
            <w:r w:rsidR="004B5F74">
              <w:rPr>
                <w:noProof/>
                <w:webHidden/>
              </w:rPr>
              <w:tab/>
            </w:r>
            <w:r w:rsidR="004B5F74">
              <w:rPr>
                <w:noProof/>
                <w:webHidden/>
              </w:rPr>
              <w:fldChar w:fldCharType="begin"/>
            </w:r>
            <w:r w:rsidR="004B5F74">
              <w:rPr>
                <w:noProof/>
                <w:webHidden/>
              </w:rPr>
              <w:instrText xml:space="preserve"> PAGEREF _Toc16087706 \h </w:instrText>
            </w:r>
            <w:r w:rsidR="004B5F74">
              <w:rPr>
                <w:noProof/>
                <w:webHidden/>
              </w:rPr>
            </w:r>
            <w:r w:rsidR="004B5F74">
              <w:rPr>
                <w:noProof/>
                <w:webHidden/>
              </w:rPr>
              <w:fldChar w:fldCharType="separate"/>
            </w:r>
            <w:r w:rsidR="004B5F74">
              <w:rPr>
                <w:noProof/>
                <w:webHidden/>
              </w:rPr>
              <w:t>33</w:t>
            </w:r>
            <w:r w:rsidR="004B5F74">
              <w:rPr>
                <w:noProof/>
                <w:webHidden/>
              </w:rPr>
              <w:fldChar w:fldCharType="end"/>
            </w:r>
          </w:hyperlink>
        </w:p>
        <w:p w14:paraId="08C138A2" w14:textId="3A5B5061" w:rsidR="004B5F74" w:rsidRDefault="004F3D28">
          <w:pPr>
            <w:pStyle w:val="Sumrio3"/>
            <w:tabs>
              <w:tab w:val="right" w:leader="dot" w:pos="9061"/>
            </w:tabs>
            <w:rPr>
              <w:rFonts w:asciiTheme="minorHAnsi" w:hAnsiTheme="minorHAnsi" w:cstheme="minorBidi"/>
              <w:noProof/>
              <w:color w:val="auto"/>
              <w:sz w:val="22"/>
              <w:szCs w:val="22"/>
              <w:shd w:val="clear" w:color="auto" w:fill="auto"/>
            </w:rPr>
          </w:pPr>
          <w:hyperlink w:anchor="_Toc16087707" w:history="1">
            <w:r w:rsidR="004B5F74" w:rsidRPr="000A77CF">
              <w:rPr>
                <w:rStyle w:val="Hyperlink"/>
                <w:noProof/>
              </w:rPr>
              <w:t>3.3.3. Estrutura e principais características</w:t>
            </w:r>
            <w:r w:rsidR="004B5F74">
              <w:rPr>
                <w:noProof/>
                <w:webHidden/>
              </w:rPr>
              <w:tab/>
            </w:r>
            <w:r w:rsidR="004B5F74">
              <w:rPr>
                <w:noProof/>
                <w:webHidden/>
              </w:rPr>
              <w:fldChar w:fldCharType="begin"/>
            </w:r>
            <w:r w:rsidR="004B5F74">
              <w:rPr>
                <w:noProof/>
                <w:webHidden/>
              </w:rPr>
              <w:instrText xml:space="preserve"> PAGEREF _Toc16087707 \h </w:instrText>
            </w:r>
            <w:r w:rsidR="004B5F74">
              <w:rPr>
                <w:noProof/>
                <w:webHidden/>
              </w:rPr>
            </w:r>
            <w:r w:rsidR="004B5F74">
              <w:rPr>
                <w:noProof/>
                <w:webHidden/>
              </w:rPr>
              <w:fldChar w:fldCharType="separate"/>
            </w:r>
            <w:r w:rsidR="004B5F74">
              <w:rPr>
                <w:noProof/>
                <w:webHidden/>
              </w:rPr>
              <w:t>34</w:t>
            </w:r>
            <w:r w:rsidR="004B5F74">
              <w:rPr>
                <w:noProof/>
                <w:webHidden/>
              </w:rPr>
              <w:fldChar w:fldCharType="end"/>
            </w:r>
          </w:hyperlink>
        </w:p>
        <w:p w14:paraId="77A658EB" w14:textId="6361C774" w:rsidR="004B5F74" w:rsidRDefault="004F3D28">
          <w:pPr>
            <w:pStyle w:val="Sumrio1"/>
            <w:rPr>
              <w:rFonts w:asciiTheme="minorHAnsi" w:eastAsiaTheme="minorEastAsia" w:hAnsiTheme="minorHAnsi" w:cstheme="minorBidi"/>
              <w:b w:val="0"/>
              <w:color w:val="auto"/>
              <w:sz w:val="22"/>
              <w:szCs w:val="22"/>
              <w:shd w:val="clear" w:color="auto" w:fill="auto"/>
              <w:lang w:eastAsia="pt-BR"/>
            </w:rPr>
          </w:pPr>
          <w:hyperlink w:anchor="_Toc16087708" w:history="1">
            <w:r w:rsidR="004B5F74" w:rsidRPr="000A77CF">
              <w:rPr>
                <w:rStyle w:val="Hyperlink"/>
              </w:rPr>
              <w:t>4. ANÁLISE DESCRITIVA DA EXPOSIÇÃO DAS INFORMAÇÕES DE PESSOAL, DE PREVIDÊNCIA E DE INVESTIMENTO NOS RELATÓRIOS</w:t>
            </w:r>
            <w:r w:rsidR="004B5F74">
              <w:rPr>
                <w:webHidden/>
              </w:rPr>
              <w:tab/>
            </w:r>
            <w:r w:rsidR="004B5F74">
              <w:rPr>
                <w:webHidden/>
              </w:rPr>
              <w:fldChar w:fldCharType="begin"/>
            </w:r>
            <w:r w:rsidR="004B5F74">
              <w:rPr>
                <w:webHidden/>
              </w:rPr>
              <w:instrText xml:space="preserve"> PAGEREF _Toc16087708 \h </w:instrText>
            </w:r>
            <w:r w:rsidR="004B5F74">
              <w:rPr>
                <w:webHidden/>
              </w:rPr>
            </w:r>
            <w:r w:rsidR="004B5F74">
              <w:rPr>
                <w:webHidden/>
              </w:rPr>
              <w:fldChar w:fldCharType="separate"/>
            </w:r>
            <w:r w:rsidR="004B5F74">
              <w:rPr>
                <w:webHidden/>
              </w:rPr>
              <w:t>39</w:t>
            </w:r>
            <w:r w:rsidR="004B5F74">
              <w:rPr>
                <w:webHidden/>
              </w:rPr>
              <w:fldChar w:fldCharType="end"/>
            </w:r>
          </w:hyperlink>
        </w:p>
        <w:p w14:paraId="43AE26CF" w14:textId="4DBBB4B2" w:rsidR="004B5F74" w:rsidRDefault="004F3D28">
          <w:pPr>
            <w:pStyle w:val="Sumrio2"/>
            <w:rPr>
              <w:rFonts w:asciiTheme="minorHAnsi" w:hAnsiTheme="minorHAnsi" w:cstheme="minorBidi"/>
              <w:b w:val="0"/>
              <w:color w:val="auto"/>
              <w:sz w:val="22"/>
              <w:szCs w:val="22"/>
              <w:shd w:val="clear" w:color="auto" w:fill="auto"/>
            </w:rPr>
          </w:pPr>
          <w:hyperlink w:anchor="_Toc16087709" w:history="1">
            <w:r w:rsidR="004B5F74" w:rsidRPr="000A77CF">
              <w:rPr>
                <w:rStyle w:val="Hyperlink"/>
              </w:rPr>
              <w:t>4.1. Gasto com Pessoal</w:t>
            </w:r>
            <w:r w:rsidR="004B5F74">
              <w:rPr>
                <w:webHidden/>
              </w:rPr>
              <w:tab/>
            </w:r>
            <w:r w:rsidR="004B5F74">
              <w:rPr>
                <w:webHidden/>
              </w:rPr>
              <w:fldChar w:fldCharType="begin"/>
            </w:r>
            <w:r w:rsidR="004B5F74">
              <w:rPr>
                <w:webHidden/>
              </w:rPr>
              <w:instrText xml:space="preserve"> PAGEREF _Toc16087709 \h </w:instrText>
            </w:r>
            <w:r w:rsidR="004B5F74">
              <w:rPr>
                <w:webHidden/>
              </w:rPr>
            </w:r>
            <w:r w:rsidR="004B5F74">
              <w:rPr>
                <w:webHidden/>
              </w:rPr>
              <w:fldChar w:fldCharType="separate"/>
            </w:r>
            <w:r w:rsidR="004B5F74">
              <w:rPr>
                <w:webHidden/>
              </w:rPr>
              <w:t>39</w:t>
            </w:r>
            <w:r w:rsidR="004B5F74">
              <w:rPr>
                <w:webHidden/>
              </w:rPr>
              <w:fldChar w:fldCharType="end"/>
            </w:r>
          </w:hyperlink>
        </w:p>
        <w:p w14:paraId="0B139B5C" w14:textId="6046DD5D" w:rsidR="004B5F74" w:rsidRDefault="004F3D28">
          <w:pPr>
            <w:pStyle w:val="Sumrio2"/>
            <w:rPr>
              <w:rFonts w:asciiTheme="minorHAnsi" w:hAnsiTheme="minorHAnsi" w:cstheme="minorBidi"/>
              <w:b w:val="0"/>
              <w:color w:val="auto"/>
              <w:sz w:val="22"/>
              <w:szCs w:val="22"/>
              <w:shd w:val="clear" w:color="auto" w:fill="auto"/>
            </w:rPr>
          </w:pPr>
          <w:hyperlink w:anchor="_Toc16087710" w:history="1">
            <w:r w:rsidR="004B5F74" w:rsidRPr="000A77CF">
              <w:rPr>
                <w:rStyle w:val="Hyperlink"/>
              </w:rPr>
              <w:t>4.2. Gasto com previdência</w:t>
            </w:r>
            <w:r w:rsidR="004B5F74">
              <w:rPr>
                <w:webHidden/>
              </w:rPr>
              <w:tab/>
            </w:r>
            <w:r w:rsidR="004B5F74">
              <w:rPr>
                <w:webHidden/>
              </w:rPr>
              <w:fldChar w:fldCharType="begin"/>
            </w:r>
            <w:r w:rsidR="004B5F74">
              <w:rPr>
                <w:webHidden/>
              </w:rPr>
              <w:instrText xml:space="preserve"> PAGEREF _Toc16087710 \h </w:instrText>
            </w:r>
            <w:r w:rsidR="004B5F74">
              <w:rPr>
                <w:webHidden/>
              </w:rPr>
            </w:r>
            <w:r w:rsidR="004B5F74">
              <w:rPr>
                <w:webHidden/>
              </w:rPr>
              <w:fldChar w:fldCharType="separate"/>
            </w:r>
            <w:r w:rsidR="004B5F74">
              <w:rPr>
                <w:webHidden/>
              </w:rPr>
              <w:t>43</w:t>
            </w:r>
            <w:r w:rsidR="004B5F74">
              <w:rPr>
                <w:webHidden/>
              </w:rPr>
              <w:fldChar w:fldCharType="end"/>
            </w:r>
          </w:hyperlink>
        </w:p>
        <w:p w14:paraId="0A3BC8D4" w14:textId="4487C824" w:rsidR="004B5F74" w:rsidRDefault="004F3D28">
          <w:pPr>
            <w:pStyle w:val="Sumrio2"/>
            <w:rPr>
              <w:rFonts w:asciiTheme="minorHAnsi" w:hAnsiTheme="minorHAnsi" w:cstheme="minorBidi"/>
              <w:b w:val="0"/>
              <w:color w:val="auto"/>
              <w:sz w:val="22"/>
              <w:szCs w:val="22"/>
              <w:shd w:val="clear" w:color="auto" w:fill="auto"/>
            </w:rPr>
          </w:pPr>
          <w:hyperlink w:anchor="_Toc16087711" w:history="1">
            <w:r w:rsidR="004B5F74" w:rsidRPr="000A77CF">
              <w:rPr>
                <w:rStyle w:val="Hyperlink"/>
              </w:rPr>
              <w:t>4.3. Gasto com investimento</w:t>
            </w:r>
            <w:r w:rsidR="004B5F74">
              <w:rPr>
                <w:webHidden/>
              </w:rPr>
              <w:tab/>
            </w:r>
            <w:r w:rsidR="004B5F74">
              <w:rPr>
                <w:webHidden/>
              </w:rPr>
              <w:fldChar w:fldCharType="begin"/>
            </w:r>
            <w:r w:rsidR="004B5F74">
              <w:rPr>
                <w:webHidden/>
              </w:rPr>
              <w:instrText xml:space="preserve"> PAGEREF _Toc16087711 \h </w:instrText>
            </w:r>
            <w:r w:rsidR="004B5F74">
              <w:rPr>
                <w:webHidden/>
              </w:rPr>
            </w:r>
            <w:r w:rsidR="004B5F74">
              <w:rPr>
                <w:webHidden/>
              </w:rPr>
              <w:fldChar w:fldCharType="separate"/>
            </w:r>
            <w:r w:rsidR="004B5F74">
              <w:rPr>
                <w:webHidden/>
              </w:rPr>
              <w:t>44</w:t>
            </w:r>
            <w:r w:rsidR="004B5F74">
              <w:rPr>
                <w:webHidden/>
              </w:rPr>
              <w:fldChar w:fldCharType="end"/>
            </w:r>
          </w:hyperlink>
        </w:p>
        <w:p w14:paraId="32942D88" w14:textId="67189DE2" w:rsidR="004B5F74" w:rsidRDefault="004F3D28">
          <w:pPr>
            <w:pStyle w:val="Sumrio2"/>
            <w:rPr>
              <w:rFonts w:asciiTheme="minorHAnsi" w:hAnsiTheme="minorHAnsi" w:cstheme="minorBidi"/>
              <w:b w:val="0"/>
              <w:color w:val="auto"/>
              <w:sz w:val="22"/>
              <w:szCs w:val="22"/>
              <w:shd w:val="clear" w:color="auto" w:fill="auto"/>
            </w:rPr>
          </w:pPr>
          <w:hyperlink w:anchor="_Toc16087712" w:history="1">
            <w:r w:rsidR="004B5F74" w:rsidRPr="000A77CF">
              <w:rPr>
                <w:rStyle w:val="Hyperlink"/>
              </w:rPr>
              <w:t>4.4. Quadros-resumo das informações apresentadas</w:t>
            </w:r>
            <w:r w:rsidR="004B5F74">
              <w:rPr>
                <w:webHidden/>
              </w:rPr>
              <w:tab/>
            </w:r>
            <w:r w:rsidR="004B5F74">
              <w:rPr>
                <w:webHidden/>
              </w:rPr>
              <w:fldChar w:fldCharType="begin"/>
            </w:r>
            <w:r w:rsidR="004B5F74">
              <w:rPr>
                <w:webHidden/>
              </w:rPr>
              <w:instrText xml:space="preserve"> PAGEREF _Toc16087712 \h </w:instrText>
            </w:r>
            <w:r w:rsidR="004B5F74">
              <w:rPr>
                <w:webHidden/>
              </w:rPr>
            </w:r>
            <w:r w:rsidR="004B5F74">
              <w:rPr>
                <w:webHidden/>
              </w:rPr>
              <w:fldChar w:fldCharType="separate"/>
            </w:r>
            <w:r w:rsidR="004B5F74">
              <w:rPr>
                <w:webHidden/>
              </w:rPr>
              <w:t>48</w:t>
            </w:r>
            <w:r w:rsidR="004B5F74">
              <w:rPr>
                <w:webHidden/>
              </w:rPr>
              <w:fldChar w:fldCharType="end"/>
            </w:r>
          </w:hyperlink>
        </w:p>
        <w:p w14:paraId="79A37CF0" w14:textId="6BC09DD4" w:rsidR="004B5F74" w:rsidRDefault="004F3D28">
          <w:pPr>
            <w:pStyle w:val="Sumrio1"/>
            <w:rPr>
              <w:rFonts w:asciiTheme="minorHAnsi" w:eastAsiaTheme="minorEastAsia" w:hAnsiTheme="minorHAnsi" w:cstheme="minorBidi"/>
              <w:b w:val="0"/>
              <w:color w:val="auto"/>
              <w:sz w:val="22"/>
              <w:szCs w:val="22"/>
              <w:shd w:val="clear" w:color="auto" w:fill="auto"/>
              <w:lang w:eastAsia="pt-BR"/>
            </w:rPr>
          </w:pPr>
          <w:hyperlink w:anchor="_Toc16087713" w:history="1">
            <w:r w:rsidR="004B5F74" w:rsidRPr="000A77CF">
              <w:rPr>
                <w:rStyle w:val="Hyperlink"/>
              </w:rPr>
              <w:t>5. DISCUSSÃO DOS RESULTADOS</w:t>
            </w:r>
            <w:r w:rsidR="004B5F74">
              <w:rPr>
                <w:webHidden/>
              </w:rPr>
              <w:tab/>
            </w:r>
            <w:r w:rsidR="004B5F74">
              <w:rPr>
                <w:webHidden/>
              </w:rPr>
              <w:fldChar w:fldCharType="begin"/>
            </w:r>
            <w:r w:rsidR="004B5F74">
              <w:rPr>
                <w:webHidden/>
              </w:rPr>
              <w:instrText xml:space="preserve"> PAGEREF _Toc16087713 \h </w:instrText>
            </w:r>
            <w:r w:rsidR="004B5F74">
              <w:rPr>
                <w:webHidden/>
              </w:rPr>
            </w:r>
            <w:r w:rsidR="004B5F74">
              <w:rPr>
                <w:webHidden/>
              </w:rPr>
              <w:fldChar w:fldCharType="separate"/>
            </w:r>
            <w:r w:rsidR="004B5F74">
              <w:rPr>
                <w:webHidden/>
              </w:rPr>
              <w:t>50</w:t>
            </w:r>
            <w:r w:rsidR="004B5F74">
              <w:rPr>
                <w:webHidden/>
              </w:rPr>
              <w:fldChar w:fldCharType="end"/>
            </w:r>
          </w:hyperlink>
        </w:p>
        <w:p w14:paraId="0FFD0EC8" w14:textId="68243C43" w:rsidR="004B5F74" w:rsidRDefault="004F3D28">
          <w:pPr>
            <w:pStyle w:val="Sumrio1"/>
            <w:rPr>
              <w:rFonts w:asciiTheme="minorHAnsi" w:eastAsiaTheme="minorEastAsia" w:hAnsiTheme="minorHAnsi" w:cstheme="minorBidi"/>
              <w:b w:val="0"/>
              <w:color w:val="auto"/>
              <w:sz w:val="22"/>
              <w:szCs w:val="22"/>
              <w:shd w:val="clear" w:color="auto" w:fill="auto"/>
              <w:lang w:eastAsia="pt-BR"/>
            </w:rPr>
          </w:pPr>
          <w:hyperlink w:anchor="_Toc16087714" w:history="1">
            <w:r w:rsidR="004B5F74" w:rsidRPr="000A77CF">
              <w:rPr>
                <w:rStyle w:val="Hyperlink"/>
              </w:rPr>
              <w:t>6. CONCLUSÃO</w:t>
            </w:r>
            <w:r w:rsidR="004B5F74">
              <w:rPr>
                <w:webHidden/>
              </w:rPr>
              <w:tab/>
            </w:r>
            <w:r w:rsidR="004B5F74">
              <w:rPr>
                <w:webHidden/>
              </w:rPr>
              <w:fldChar w:fldCharType="begin"/>
            </w:r>
            <w:r w:rsidR="004B5F74">
              <w:rPr>
                <w:webHidden/>
              </w:rPr>
              <w:instrText xml:space="preserve"> PAGEREF _Toc16087714 \h </w:instrText>
            </w:r>
            <w:r w:rsidR="004B5F74">
              <w:rPr>
                <w:webHidden/>
              </w:rPr>
            </w:r>
            <w:r w:rsidR="004B5F74">
              <w:rPr>
                <w:webHidden/>
              </w:rPr>
              <w:fldChar w:fldCharType="separate"/>
            </w:r>
            <w:r w:rsidR="004B5F74">
              <w:rPr>
                <w:webHidden/>
              </w:rPr>
              <w:t>53</w:t>
            </w:r>
            <w:r w:rsidR="004B5F74">
              <w:rPr>
                <w:webHidden/>
              </w:rPr>
              <w:fldChar w:fldCharType="end"/>
            </w:r>
          </w:hyperlink>
        </w:p>
        <w:p w14:paraId="7A2CD16A" w14:textId="66BBBC6B" w:rsidR="004B5F74" w:rsidRDefault="004F3D28">
          <w:pPr>
            <w:pStyle w:val="Sumrio1"/>
            <w:rPr>
              <w:rFonts w:asciiTheme="minorHAnsi" w:eastAsiaTheme="minorEastAsia" w:hAnsiTheme="minorHAnsi" w:cstheme="minorBidi"/>
              <w:b w:val="0"/>
              <w:color w:val="auto"/>
              <w:sz w:val="22"/>
              <w:szCs w:val="22"/>
              <w:shd w:val="clear" w:color="auto" w:fill="auto"/>
              <w:lang w:eastAsia="pt-BR"/>
            </w:rPr>
          </w:pPr>
          <w:hyperlink w:anchor="_Toc16087715" w:history="1">
            <w:r w:rsidR="004B5F74" w:rsidRPr="000A77CF">
              <w:rPr>
                <w:rStyle w:val="Hyperlink"/>
              </w:rPr>
              <w:t>7. REFERÊNCIAS BIBLIOGRÁFICAS</w:t>
            </w:r>
            <w:r w:rsidR="004B5F74">
              <w:rPr>
                <w:webHidden/>
              </w:rPr>
              <w:tab/>
            </w:r>
            <w:r w:rsidR="004B5F74">
              <w:rPr>
                <w:webHidden/>
              </w:rPr>
              <w:fldChar w:fldCharType="begin"/>
            </w:r>
            <w:r w:rsidR="004B5F74">
              <w:rPr>
                <w:webHidden/>
              </w:rPr>
              <w:instrText xml:space="preserve"> PAGEREF _Toc16087715 \h </w:instrText>
            </w:r>
            <w:r w:rsidR="004B5F74">
              <w:rPr>
                <w:webHidden/>
              </w:rPr>
            </w:r>
            <w:r w:rsidR="004B5F74">
              <w:rPr>
                <w:webHidden/>
              </w:rPr>
              <w:fldChar w:fldCharType="separate"/>
            </w:r>
            <w:r w:rsidR="004B5F74">
              <w:rPr>
                <w:webHidden/>
              </w:rPr>
              <w:t>57</w:t>
            </w:r>
            <w:r w:rsidR="004B5F74">
              <w:rPr>
                <w:webHidden/>
              </w:rPr>
              <w:fldChar w:fldCharType="end"/>
            </w:r>
          </w:hyperlink>
        </w:p>
        <w:p w14:paraId="5F801020" w14:textId="13929F32" w:rsidR="00546A39" w:rsidRDefault="00546A39">
          <w:r>
            <w:rPr>
              <w:b/>
              <w:bCs/>
            </w:rPr>
            <w:fldChar w:fldCharType="end"/>
          </w:r>
        </w:p>
      </w:sdtContent>
    </w:sdt>
    <w:p w14:paraId="3D885A8C" w14:textId="77777777" w:rsidR="009C6322" w:rsidRPr="008221B5" w:rsidRDefault="009C6322" w:rsidP="00DA35F4"/>
    <w:p w14:paraId="7DEF63CA" w14:textId="63D43098" w:rsidR="008C170C" w:rsidRPr="008221B5" w:rsidRDefault="008C170C" w:rsidP="00DA35F4"/>
    <w:p w14:paraId="5E592CEE" w14:textId="1E1D8E04" w:rsidR="008C170C" w:rsidRPr="008221B5" w:rsidRDefault="008C170C" w:rsidP="00DA35F4"/>
    <w:p w14:paraId="596B781A" w14:textId="77777777" w:rsidR="0084571E" w:rsidRPr="00946E02" w:rsidRDefault="0084571E" w:rsidP="00DA35F4"/>
    <w:p w14:paraId="10A813A7" w14:textId="6A52BFE0" w:rsidR="008C170C" w:rsidRPr="00946E02" w:rsidRDefault="00C93956" w:rsidP="00C93956">
      <w:pPr>
        <w:tabs>
          <w:tab w:val="left" w:pos="6105"/>
        </w:tabs>
      </w:pPr>
      <w:r>
        <w:tab/>
      </w:r>
    </w:p>
    <w:p w14:paraId="0D59D60A" w14:textId="77777777" w:rsidR="00D567E0" w:rsidRDefault="00D567E0" w:rsidP="000B7B0D">
      <w:pPr>
        <w:pStyle w:val="Ttulo1"/>
      </w:pPr>
    </w:p>
    <w:p w14:paraId="065AADEE" w14:textId="77777777" w:rsidR="00D567E0" w:rsidRDefault="00D567E0" w:rsidP="000B7B0D">
      <w:pPr>
        <w:pStyle w:val="Ttulo1"/>
      </w:pPr>
    </w:p>
    <w:p w14:paraId="2B6467E5" w14:textId="77777777" w:rsidR="00D567E0" w:rsidRDefault="00D567E0" w:rsidP="000B7B0D">
      <w:pPr>
        <w:pStyle w:val="Ttulo1"/>
      </w:pPr>
    </w:p>
    <w:p w14:paraId="05924CAB" w14:textId="77777777" w:rsidR="00D567E0" w:rsidRDefault="00D567E0" w:rsidP="000B7B0D">
      <w:pPr>
        <w:pStyle w:val="Ttulo1"/>
      </w:pPr>
    </w:p>
    <w:p w14:paraId="4077F9F1" w14:textId="77777777" w:rsidR="00D567E0" w:rsidRDefault="00D567E0" w:rsidP="000B7B0D">
      <w:pPr>
        <w:pStyle w:val="Ttulo1"/>
      </w:pPr>
    </w:p>
    <w:p w14:paraId="376657B6" w14:textId="77777777" w:rsidR="00D567E0" w:rsidRDefault="00D567E0" w:rsidP="000B7B0D">
      <w:pPr>
        <w:pStyle w:val="Ttulo1"/>
      </w:pPr>
    </w:p>
    <w:p w14:paraId="605C440F" w14:textId="77777777" w:rsidR="00D567E0" w:rsidRDefault="00D567E0" w:rsidP="000B7B0D">
      <w:pPr>
        <w:pStyle w:val="Ttulo1"/>
      </w:pPr>
    </w:p>
    <w:p w14:paraId="320BC93E" w14:textId="77777777" w:rsidR="00D567E0" w:rsidRDefault="00D567E0" w:rsidP="000B7B0D">
      <w:pPr>
        <w:pStyle w:val="Ttulo1"/>
      </w:pPr>
    </w:p>
    <w:p w14:paraId="2FF2F42B" w14:textId="77777777" w:rsidR="00D567E0" w:rsidRDefault="00D567E0" w:rsidP="000B7B0D">
      <w:pPr>
        <w:pStyle w:val="Ttulo1"/>
      </w:pPr>
    </w:p>
    <w:p w14:paraId="5A907CEC" w14:textId="77777777" w:rsidR="00D567E0" w:rsidRDefault="00D567E0" w:rsidP="000B7B0D">
      <w:pPr>
        <w:pStyle w:val="Ttulo1"/>
      </w:pPr>
    </w:p>
    <w:p w14:paraId="7E757E29" w14:textId="19C13231" w:rsidR="00DA35F4" w:rsidRDefault="00DA35F4" w:rsidP="00DA35F4">
      <w:pPr>
        <w:rPr>
          <w:b/>
        </w:rPr>
      </w:pPr>
    </w:p>
    <w:p w14:paraId="4F1F5382" w14:textId="77777777" w:rsidR="009E7B0B" w:rsidRDefault="009E7B0B" w:rsidP="00DA35F4"/>
    <w:p w14:paraId="5F7DF2E7" w14:textId="77777777" w:rsidR="00DA35F4" w:rsidRPr="00DA35F4" w:rsidRDefault="00DA35F4" w:rsidP="00DA35F4"/>
    <w:p w14:paraId="749400B9" w14:textId="77777777" w:rsidR="00D567E0" w:rsidRDefault="00D567E0" w:rsidP="000B7B0D">
      <w:pPr>
        <w:pStyle w:val="Ttulo1"/>
      </w:pPr>
    </w:p>
    <w:p w14:paraId="6A37FDE0" w14:textId="77777777" w:rsidR="00D315D5" w:rsidRDefault="00D315D5" w:rsidP="000B7B0D">
      <w:pPr>
        <w:pStyle w:val="Ttulo1"/>
        <w:sectPr w:rsidR="00D315D5" w:rsidSect="00F822ED">
          <w:headerReference w:type="default" r:id="rId9"/>
          <w:footerReference w:type="default" r:id="rId10"/>
          <w:pgSz w:w="11906" w:h="16838"/>
          <w:pgMar w:top="1701" w:right="1134" w:bottom="1134" w:left="1701" w:header="709" w:footer="709" w:gutter="0"/>
          <w:cols w:space="708"/>
          <w:titlePg/>
          <w:docGrid w:linePitch="360"/>
        </w:sectPr>
      </w:pPr>
    </w:p>
    <w:p w14:paraId="3614FC7B" w14:textId="376440BF" w:rsidR="005B07F8" w:rsidRDefault="001247CF" w:rsidP="000B7B0D">
      <w:pPr>
        <w:pStyle w:val="Ttulo1"/>
      </w:pPr>
      <w:bookmarkStart w:id="2" w:name="_Toc16087686"/>
      <w:r w:rsidRPr="00454B7E">
        <w:lastRenderedPageBreak/>
        <w:t>1</w:t>
      </w:r>
      <w:r w:rsidR="00E3714D">
        <w:t>.</w:t>
      </w:r>
      <w:r w:rsidR="00777755" w:rsidRPr="00454B7E">
        <w:t xml:space="preserve"> </w:t>
      </w:r>
      <w:r w:rsidR="00AD6593" w:rsidRPr="00454B7E">
        <w:t>INTRODUÇÃO</w:t>
      </w:r>
      <w:bookmarkEnd w:id="2"/>
    </w:p>
    <w:p w14:paraId="69C3EB93" w14:textId="77777777" w:rsidR="00F76BBB" w:rsidRPr="00F76BBB" w:rsidRDefault="00F76BBB" w:rsidP="00F76BBB"/>
    <w:p w14:paraId="7BB427DF" w14:textId="33E72E60" w:rsidR="005B07F8" w:rsidRDefault="005B07F8" w:rsidP="00880397">
      <w:pPr>
        <w:pStyle w:val="Ttulo2"/>
      </w:pPr>
      <w:bookmarkStart w:id="3" w:name="_Toc16087687"/>
      <w:r w:rsidRPr="00880397">
        <w:t>1.1</w:t>
      </w:r>
      <w:r w:rsidR="00E763D8">
        <w:t>.</w:t>
      </w:r>
      <w:r w:rsidR="00450D6C" w:rsidRPr="00880397">
        <w:t xml:space="preserve"> </w:t>
      </w:r>
      <w:r w:rsidR="00F525BB">
        <w:t>Contextualização do tema</w:t>
      </w:r>
      <w:bookmarkEnd w:id="3"/>
    </w:p>
    <w:p w14:paraId="1B5D327F" w14:textId="77777777" w:rsidR="002F657B" w:rsidRDefault="002F657B" w:rsidP="00D70A22"/>
    <w:p w14:paraId="6197BE2A" w14:textId="2DE73EB3" w:rsidR="00227B0B" w:rsidRPr="00946E02" w:rsidRDefault="0058234F" w:rsidP="00D70A22">
      <w:r w:rsidRPr="00946E02">
        <w:t>O</w:t>
      </w:r>
      <w:r w:rsidR="00706C77" w:rsidRPr="00946E02">
        <w:t xml:space="preserve"> Relatório sobre Avaliação da Transparência Fiscal relativo ao Brasil, solicitado pelo Ministério da Fazenda ao Fundo Monetário Internacional (FMI)</w:t>
      </w:r>
      <w:r w:rsidR="0099620B" w:rsidRPr="00946E02">
        <w:t xml:space="preserve"> </w:t>
      </w:r>
      <w:r w:rsidR="00D535C1" w:rsidRPr="00946E02">
        <w:t>e publicado em janeiro de 2017</w:t>
      </w:r>
      <w:r w:rsidR="00706C77" w:rsidRPr="00946E02">
        <w:t xml:space="preserve">, </w:t>
      </w:r>
      <w:r w:rsidRPr="00946E02">
        <w:t xml:space="preserve">indica que </w:t>
      </w:r>
      <w:r w:rsidR="00706C77" w:rsidRPr="00946E02">
        <w:t xml:space="preserve">o País “obteve um progresso considerável ao longo das últimas décadas na prestação de informações regulares sobre o orçamento e a sua execução em todos os níveis de governo, em parte graças à Lei de Responsabilidade Fiscal (LRF), de 2000”. </w:t>
      </w:r>
    </w:p>
    <w:p w14:paraId="11844FA9" w14:textId="75B9D949" w:rsidR="00BD3A94" w:rsidRPr="00946E02" w:rsidRDefault="00DF7DA2" w:rsidP="00D70A22">
      <w:r w:rsidRPr="00946E02">
        <w:t>A</w:t>
      </w:r>
      <w:r w:rsidR="00106E03" w:rsidRPr="00946E02">
        <w:t xml:space="preserve"> intenção</w:t>
      </w:r>
      <w:r w:rsidR="0058234F" w:rsidRPr="00946E02">
        <w:t xml:space="preserve"> da LRF resta clar</w:t>
      </w:r>
      <w:r w:rsidR="00ED41EF" w:rsidRPr="00946E02">
        <w:t>a</w:t>
      </w:r>
      <w:r w:rsidR="0058234F" w:rsidRPr="00946E02">
        <w:t xml:space="preserve"> já em seu artigo 1º, parágrafo 1º, ao estabelecer que “a responsabilidade na gestão fiscal pressupõe ação planejada e transparente”</w:t>
      </w:r>
      <w:r w:rsidR="00212719" w:rsidRPr="00946E02">
        <w:t>. E o objetivo se solidifica nessa legislação</w:t>
      </w:r>
      <w:r w:rsidR="00664BB3" w:rsidRPr="00946E02">
        <w:t xml:space="preserve"> no</w:t>
      </w:r>
      <w:r w:rsidR="0058234F" w:rsidRPr="00946E02">
        <w:t xml:space="preserve"> capítulo dedicado à transparência da gestão fiscal, </w:t>
      </w:r>
      <w:r w:rsidR="00212719" w:rsidRPr="00946E02">
        <w:t>com a determinação de se dar “ampla divulgação, inclusive em meios eletrônicos de acesso público”</w:t>
      </w:r>
      <w:r w:rsidR="004E188C">
        <w:t>,</w:t>
      </w:r>
      <w:r w:rsidR="0058234F" w:rsidRPr="00946E02">
        <w:t xml:space="preserve"> </w:t>
      </w:r>
      <w:r w:rsidR="00BD3A94" w:rsidRPr="00946E02">
        <w:t>dos instrumentos orçamentários</w:t>
      </w:r>
      <w:r w:rsidR="008101D7" w:rsidRPr="00946E02">
        <w:t>, da</w:t>
      </w:r>
      <w:r w:rsidR="00BD3A94" w:rsidRPr="00946E02">
        <w:t xml:space="preserve">s prestações de contas e </w:t>
      </w:r>
      <w:r w:rsidR="008101D7" w:rsidRPr="00946E02">
        <w:t>de outros relatórios que impulsionem o acompanhamento pela sociedade dos</w:t>
      </w:r>
      <w:r w:rsidR="00BD3A94" w:rsidRPr="00946E02">
        <w:t xml:space="preserve"> dados governamentais.</w:t>
      </w:r>
    </w:p>
    <w:p w14:paraId="6C176C38" w14:textId="76A53AA3" w:rsidR="0046027D" w:rsidRPr="00946E02" w:rsidRDefault="00E97F36" w:rsidP="00D70A22">
      <w:r w:rsidRPr="00946E02">
        <w:t xml:space="preserve">Nesse contexto, </w:t>
      </w:r>
      <w:r w:rsidR="006213A2" w:rsidRPr="00946E02">
        <w:t>a</w:t>
      </w:r>
      <w:r w:rsidR="0046027D" w:rsidRPr="00946E02">
        <w:t xml:space="preserve"> Secretaria do Tesouro Nacional </w:t>
      </w:r>
      <w:r w:rsidR="00103CCC" w:rsidRPr="00946E02">
        <w:t>(</w:t>
      </w:r>
      <w:r w:rsidR="0046027D" w:rsidRPr="00946E02">
        <w:t>STN)</w:t>
      </w:r>
      <w:r w:rsidR="00103CCC" w:rsidRPr="00946E02">
        <w:t>,</w:t>
      </w:r>
      <w:r w:rsidR="002824AA" w:rsidRPr="00946E02">
        <w:t xml:space="preserve"> </w:t>
      </w:r>
      <w:r w:rsidR="00103CCC" w:rsidRPr="00946E02">
        <w:t xml:space="preserve">órgão </w:t>
      </w:r>
      <w:r w:rsidR="004460FE" w:rsidRPr="00946E02">
        <w:t>central</w:t>
      </w:r>
      <w:r w:rsidR="00040C9C" w:rsidRPr="00946E02">
        <w:t xml:space="preserve"> do Sistema de Administração Financeira Federal e do Sistema de Contabilidade Federal</w:t>
      </w:r>
      <w:r w:rsidR="00361281" w:rsidRPr="00946E02">
        <w:t>,</w:t>
      </w:r>
      <w:r w:rsidR="008B1D93" w:rsidRPr="00946E02">
        <w:t xml:space="preserve"> </w:t>
      </w:r>
      <w:r w:rsidR="008B5685" w:rsidRPr="00946E02">
        <w:t>cuja missão</w:t>
      </w:r>
      <w:r w:rsidR="002760B5" w:rsidRPr="00946E02">
        <w:t xml:space="preserve"> é</w:t>
      </w:r>
      <w:r w:rsidR="00FF7173" w:rsidRPr="00946E02">
        <w:t xml:space="preserve"> </w:t>
      </w:r>
      <w:r w:rsidR="00A94E81" w:rsidRPr="00946E02">
        <w:t>“gerir as contas públicas de forma eficiente e transparente</w:t>
      </w:r>
      <w:r w:rsidR="00003F0F" w:rsidRPr="00946E02">
        <w:t>, zelando pelo equilíbrio fiscal e pela qualidade do gasto”</w:t>
      </w:r>
      <w:r w:rsidR="00E64C63" w:rsidRPr="00946E02">
        <w:t xml:space="preserve"> </w:t>
      </w:r>
      <w:r w:rsidR="00416AB3" w:rsidRPr="00946E02">
        <w:t xml:space="preserve">goza de </w:t>
      </w:r>
      <w:r w:rsidR="00977D16" w:rsidRPr="00946E02">
        <w:t xml:space="preserve">relevante </w:t>
      </w:r>
      <w:r w:rsidR="00A666E9" w:rsidRPr="00946E02">
        <w:t>função</w:t>
      </w:r>
      <w:r w:rsidR="00416AB3" w:rsidRPr="00946E02">
        <w:t xml:space="preserve"> na divulgação dos </w:t>
      </w:r>
      <w:r w:rsidR="00A666E9" w:rsidRPr="00946E02">
        <w:t>dados de</w:t>
      </w:r>
      <w:r w:rsidR="00DE76D1" w:rsidRPr="00946E02">
        <w:t xml:space="preserve"> governo</w:t>
      </w:r>
      <w:r w:rsidR="00E64C63" w:rsidRPr="00946E02">
        <w:t>.</w:t>
      </w:r>
      <w:r w:rsidR="00197019" w:rsidRPr="00946E02">
        <w:t xml:space="preserve"> </w:t>
      </w:r>
      <w:r w:rsidR="00DE76D1" w:rsidRPr="00946E02">
        <w:t xml:space="preserve">Entre seus valores </w:t>
      </w:r>
      <w:r w:rsidR="004B78FA" w:rsidRPr="00946E02">
        <w:t xml:space="preserve">institucionais, inclusive, </w:t>
      </w:r>
      <w:r w:rsidR="00B75735" w:rsidRPr="00946E02">
        <w:t>reforça</w:t>
      </w:r>
      <w:r w:rsidR="004B78FA" w:rsidRPr="00946E02">
        <w:t xml:space="preserve"> a</w:t>
      </w:r>
      <w:r w:rsidR="003658B8" w:rsidRPr="00946E02">
        <w:t xml:space="preserve"> definição d</w:t>
      </w:r>
      <w:r w:rsidR="00CC02D7" w:rsidRPr="00946E02">
        <w:t>a</w:t>
      </w:r>
      <w:r w:rsidR="004B3726" w:rsidRPr="00946E02">
        <w:t xml:space="preserve"> transparência</w:t>
      </w:r>
      <w:r w:rsidR="00BD6BB1" w:rsidRPr="00946E02">
        <w:t xml:space="preserve"> </w:t>
      </w:r>
      <w:r w:rsidR="003658B8" w:rsidRPr="00946E02">
        <w:t>em</w:t>
      </w:r>
      <w:r w:rsidR="00D57967" w:rsidRPr="00946E02">
        <w:t xml:space="preserve"> </w:t>
      </w:r>
      <w:r w:rsidR="00BD6BB1" w:rsidRPr="00946E02">
        <w:t>“</w:t>
      </w:r>
      <w:r w:rsidR="00366E97" w:rsidRPr="00946E02">
        <w:t>disponibilizar informações e comunicar ações</w:t>
      </w:r>
      <w:r w:rsidR="00361281" w:rsidRPr="00946E02">
        <w:t xml:space="preserve"> </w:t>
      </w:r>
      <w:r w:rsidR="00D57967" w:rsidRPr="00946E02">
        <w:t>e decisões</w:t>
      </w:r>
      <w:r w:rsidR="00F669A8" w:rsidRPr="00946E02">
        <w:t>, observadas as restrições legais ou estratégicas, de modo a permitir que a sociedade acompanhe a atuação do Tesouro Nacional”.</w:t>
      </w:r>
    </w:p>
    <w:p w14:paraId="4F4CBAD6" w14:textId="409C7BC1" w:rsidR="008D4635" w:rsidRPr="000B7B0D" w:rsidRDefault="008621FC" w:rsidP="00D70A22">
      <w:r w:rsidRPr="000B7B0D">
        <w:t>Pelo exposto</w:t>
      </w:r>
      <w:r w:rsidR="00423B0A" w:rsidRPr="000B7B0D">
        <w:t>, o</w:t>
      </w:r>
      <w:r w:rsidR="000D30C4" w:rsidRPr="000B7B0D">
        <w:t>s propósitos t</w:t>
      </w:r>
      <w:r w:rsidR="0049567A" w:rsidRPr="000B7B0D">
        <w:t xml:space="preserve">anto </w:t>
      </w:r>
      <w:r w:rsidR="007B18C6" w:rsidRPr="000B7B0D">
        <w:t xml:space="preserve">da LRF </w:t>
      </w:r>
      <w:r w:rsidR="0049567A" w:rsidRPr="000B7B0D">
        <w:t>quanto da</w:t>
      </w:r>
      <w:r w:rsidR="007B18C6" w:rsidRPr="000B7B0D">
        <w:t xml:space="preserve"> STN </w:t>
      </w:r>
      <w:r w:rsidR="00A84673" w:rsidRPr="000B7B0D">
        <w:t xml:space="preserve">não </w:t>
      </w:r>
      <w:r w:rsidR="00CB1BA3" w:rsidRPr="000B7B0D">
        <w:t>se resume</w:t>
      </w:r>
      <w:r w:rsidR="00FE4416" w:rsidRPr="000B7B0D">
        <w:t>m</w:t>
      </w:r>
      <w:r w:rsidR="00950C69" w:rsidRPr="000B7B0D">
        <w:t>, portanto,</w:t>
      </w:r>
      <w:r w:rsidR="00CB1BA3" w:rsidRPr="000B7B0D">
        <w:t xml:space="preserve"> à </w:t>
      </w:r>
      <w:r w:rsidR="006A564A" w:rsidRPr="000B7B0D">
        <w:t xml:space="preserve">simples </w:t>
      </w:r>
      <w:r w:rsidR="00CB1BA3" w:rsidRPr="000B7B0D">
        <w:t>divulgação das info</w:t>
      </w:r>
      <w:r w:rsidR="000827C2" w:rsidRPr="000B7B0D">
        <w:t>rmações.</w:t>
      </w:r>
      <w:r w:rsidR="00CB1BA3" w:rsidRPr="000B7B0D">
        <w:t xml:space="preserve"> </w:t>
      </w:r>
      <w:r w:rsidR="000827C2" w:rsidRPr="000B7B0D">
        <w:t>O</w:t>
      </w:r>
      <w:r w:rsidR="00CB1BA3" w:rsidRPr="000B7B0D">
        <w:t xml:space="preserve"> fato de publicizar</w:t>
      </w:r>
      <w:r w:rsidR="00EF3FF2" w:rsidRPr="000B7B0D">
        <w:t xml:space="preserve">, de dar acesso </w:t>
      </w:r>
      <w:r w:rsidR="00A76D1D" w:rsidRPr="000B7B0D">
        <w:t>a</w:t>
      </w:r>
      <w:r w:rsidR="00CB1BA3" w:rsidRPr="000B7B0D">
        <w:t xml:space="preserve"> uma </w:t>
      </w:r>
      <w:r w:rsidR="00EB49E6" w:rsidRPr="000B7B0D">
        <w:t>larga</w:t>
      </w:r>
      <w:r w:rsidR="00CB1BA3" w:rsidRPr="000B7B0D">
        <w:t xml:space="preserve"> quantidade de dados, por si só, </w:t>
      </w:r>
      <w:r w:rsidR="00176CD2" w:rsidRPr="000B7B0D">
        <w:t xml:space="preserve">parece </w:t>
      </w:r>
      <w:r w:rsidR="00A10346" w:rsidRPr="000B7B0D">
        <w:t>indicar</w:t>
      </w:r>
      <w:r w:rsidR="00CB1BA3" w:rsidRPr="000B7B0D">
        <w:t xml:space="preserve"> </w:t>
      </w:r>
      <w:r w:rsidR="004C28EA" w:rsidRPr="000B7B0D">
        <w:t xml:space="preserve">somente </w:t>
      </w:r>
      <w:r w:rsidR="00A42729" w:rsidRPr="000B7B0D">
        <w:t xml:space="preserve">o cumprimento </w:t>
      </w:r>
      <w:r w:rsidR="00176CD2" w:rsidRPr="000B7B0D">
        <w:t xml:space="preserve">parcial </w:t>
      </w:r>
      <w:r w:rsidR="00A42729" w:rsidRPr="000B7B0D">
        <w:t>d</w:t>
      </w:r>
      <w:r w:rsidR="00F70722" w:rsidRPr="000B7B0D">
        <w:t xml:space="preserve">a </w:t>
      </w:r>
      <w:r w:rsidR="00447B91" w:rsidRPr="000B7B0D">
        <w:t xml:space="preserve">almejada </w:t>
      </w:r>
      <w:r w:rsidR="00F70722" w:rsidRPr="000B7B0D">
        <w:t>transparência</w:t>
      </w:r>
      <w:r w:rsidR="00447B91" w:rsidRPr="000B7B0D">
        <w:t xml:space="preserve">. </w:t>
      </w:r>
      <w:r w:rsidR="00871FEA" w:rsidRPr="000B7B0D">
        <w:t xml:space="preserve">De forma explícita, </w:t>
      </w:r>
      <w:r w:rsidR="00054EB4" w:rsidRPr="000B7B0D">
        <w:t>constata-se</w:t>
      </w:r>
      <w:r w:rsidR="005A2721" w:rsidRPr="000B7B0D">
        <w:t xml:space="preserve"> </w:t>
      </w:r>
      <w:r w:rsidR="00B36555" w:rsidRPr="000B7B0D">
        <w:t>o intuito</w:t>
      </w:r>
      <w:r w:rsidR="003235A4" w:rsidRPr="000B7B0D">
        <w:t xml:space="preserve"> de que </w:t>
      </w:r>
      <w:r w:rsidR="00E24F5D" w:rsidRPr="000B7B0D">
        <w:t>essas</w:t>
      </w:r>
      <w:r w:rsidR="00F20C50" w:rsidRPr="000B7B0D">
        <w:t xml:space="preserve"> </w:t>
      </w:r>
      <w:r w:rsidR="00E24F5D" w:rsidRPr="000B7B0D">
        <w:t>informações</w:t>
      </w:r>
      <w:r w:rsidR="00F20C50" w:rsidRPr="000B7B0D">
        <w:t xml:space="preserve"> se</w:t>
      </w:r>
      <w:r w:rsidR="003D1DF4" w:rsidRPr="000B7B0D">
        <w:t>ja</w:t>
      </w:r>
      <w:r w:rsidR="00E24F5D" w:rsidRPr="000B7B0D">
        <w:t>m</w:t>
      </w:r>
      <w:r w:rsidR="00F41A29" w:rsidRPr="000B7B0D">
        <w:t xml:space="preserve"> utilizada</w:t>
      </w:r>
      <w:r w:rsidR="00E24F5D" w:rsidRPr="000B7B0D">
        <w:t>s</w:t>
      </w:r>
      <w:r w:rsidR="00F41A29" w:rsidRPr="000B7B0D">
        <w:t xml:space="preserve"> </w:t>
      </w:r>
      <w:r w:rsidR="006A2EDB" w:rsidRPr="000B7B0D">
        <w:t>pela</w:t>
      </w:r>
      <w:r w:rsidR="003235A4" w:rsidRPr="000B7B0D">
        <w:t xml:space="preserve"> sociedade</w:t>
      </w:r>
      <w:r w:rsidR="006A2EDB" w:rsidRPr="000B7B0D">
        <w:t xml:space="preserve"> para acompanhar </w:t>
      </w:r>
      <w:r w:rsidR="00F91673" w:rsidRPr="000B7B0D">
        <w:t>as finanças públicas</w:t>
      </w:r>
      <w:r w:rsidR="00F41A29" w:rsidRPr="000B7B0D">
        <w:t>.</w:t>
      </w:r>
      <w:r w:rsidR="00091D21" w:rsidRPr="000B7B0D">
        <w:t xml:space="preserve"> </w:t>
      </w:r>
      <w:r w:rsidR="007E1758" w:rsidRPr="000B7B0D">
        <w:t xml:space="preserve"> </w:t>
      </w:r>
      <w:r w:rsidR="00B36555" w:rsidRPr="000B7B0D">
        <w:t xml:space="preserve"> </w:t>
      </w:r>
    </w:p>
    <w:p w14:paraId="0FFAED57" w14:textId="749B3FF5" w:rsidR="005574DD" w:rsidRPr="00946E02" w:rsidRDefault="005574DD" w:rsidP="00D70A22">
      <w:r w:rsidRPr="00946E02">
        <w:t xml:space="preserve">Nesse sentido, o </w:t>
      </w:r>
      <w:r w:rsidR="005E7741" w:rsidRPr="00946E02">
        <w:t xml:space="preserve">relatório do </w:t>
      </w:r>
      <w:r w:rsidRPr="00946E02">
        <w:t xml:space="preserve">FMI </w:t>
      </w:r>
      <w:r w:rsidR="001828EA" w:rsidRPr="00946E02">
        <w:t>revela</w:t>
      </w:r>
      <w:r w:rsidRPr="00946E02">
        <w:t xml:space="preserve"> que “embora o Brasil forneça vastas informações fiscais”, “alguns dos principais elementos da política fiscal e dos riscos fiscais não são devidamente comunicados ao público mais amplo”. Dessa forma, o organismo internacional preconiza um esforço </w:t>
      </w:r>
      <w:r w:rsidR="000D60EC" w:rsidRPr="00946E02">
        <w:t xml:space="preserve">do Brasil </w:t>
      </w:r>
      <w:r w:rsidRPr="00946E02">
        <w:t xml:space="preserve">no sentido de </w:t>
      </w:r>
      <w:r w:rsidR="006256BB" w:rsidRPr="00946E02">
        <w:t>robustecer</w:t>
      </w:r>
      <w:r w:rsidRPr="00946E02">
        <w:t xml:space="preserve"> o propósito da divulgação das informações como instrumento para a tomada de decisão. </w:t>
      </w:r>
    </w:p>
    <w:p w14:paraId="3404F5DA" w14:textId="40C86708" w:rsidR="00675044" w:rsidRDefault="008A395C" w:rsidP="00D70A22">
      <w:r w:rsidRPr="00946E02">
        <w:lastRenderedPageBreak/>
        <w:t>Em compasso com</w:t>
      </w:r>
      <w:r w:rsidR="005E7B5F" w:rsidRPr="00946E02">
        <w:t xml:space="preserve"> o</w:t>
      </w:r>
      <w:r w:rsidR="00FF175F" w:rsidRPr="00946E02">
        <w:t xml:space="preserve"> progre</w:t>
      </w:r>
      <w:r w:rsidR="005E7B5F" w:rsidRPr="00946E02">
        <w:t>sso</w:t>
      </w:r>
      <w:r w:rsidR="00FF175F" w:rsidRPr="00946E02">
        <w:t xml:space="preserve"> n</w:t>
      </w:r>
      <w:r w:rsidR="00DB123D" w:rsidRPr="00946E02">
        <w:t>o campo da</w:t>
      </w:r>
      <w:r w:rsidR="00FF175F" w:rsidRPr="00946E02">
        <w:t xml:space="preserve"> disponibilização d</w:t>
      </w:r>
      <w:r w:rsidR="004A10A0" w:rsidRPr="00946E02">
        <w:t>os dados</w:t>
      </w:r>
      <w:r w:rsidR="0040014A" w:rsidRPr="00946E02">
        <w:t xml:space="preserve">, </w:t>
      </w:r>
      <w:r w:rsidR="00C813BD" w:rsidRPr="00946E02">
        <w:t>evidencia-se</w:t>
      </w:r>
      <w:r w:rsidR="0040014A" w:rsidRPr="00946E02">
        <w:t xml:space="preserve"> </w:t>
      </w:r>
      <w:r w:rsidR="003965E6" w:rsidRPr="00946E02">
        <w:t xml:space="preserve">uma maior atenção </w:t>
      </w:r>
      <w:r w:rsidR="00743A05" w:rsidRPr="00946E02">
        <w:t xml:space="preserve">à </w:t>
      </w:r>
      <w:r w:rsidR="0029066E" w:rsidRPr="00946E02">
        <w:t xml:space="preserve">comunicação desses dados </w:t>
      </w:r>
      <w:r w:rsidR="00C87145" w:rsidRPr="00946E02">
        <w:t>para que possam ser consumidos pelas pessoas</w:t>
      </w:r>
      <w:r w:rsidR="00B17BF1" w:rsidRPr="00946E02">
        <w:t xml:space="preserve"> e transformados </w:t>
      </w:r>
      <w:r w:rsidR="00B828F3" w:rsidRPr="00946E02">
        <w:t>em informaç</w:t>
      </w:r>
      <w:r w:rsidR="008E3B75" w:rsidRPr="00946E02">
        <w:t>ão</w:t>
      </w:r>
      <w:r w:rsidR="00B828F3" w:rsidRPr="00946E02">
        <w:t xml:space="preserve"> para </w:t>
      </w:r>
      <w:r w:rsidR="007E6B3D" w:rsidRPr="00946E02">
        <w:t>as políticas públicas.</w:t>
      </w:r>
      <w:r w:rsidR="00A20C9E" w:rsidRPr="00946E02">
        <w:t xml:space="preserve"> </w:t>
      </w:r>
      <w:r w:rsidR="00817E68" w:rsidRPr="00946E02">
        <w:t xml:space="preserve">A </w:t>
      </w:r>
      <w:r w:rsidR="0032705C" w:rsidRPr="00946E02">
        <w:t>conjugação desses fatores</w:t>
      </w:r>
      <w:r w:rsidR="00BE1E49" w:rsidRPr="00946E02">
        <w:t xml:space="preserve"> </w:t>
      </w:r>
      <w:r w:rsidR="00500C41" w:rsidRPr="00946E02">
        <w:t>favorece</w:t>
      </w:r>
      <w:r w:rsidR="00F245F9" w:rsidRPr="00946E02">
        <w:t xml:space="preserve"> </w:t>
      </w:r>
      <w:r w:rsidR="0005239B" w:rsidRPr="00946E02">
        <w:t>a</w:t>
      </w:r>
      <w:r w:rsidR="00D93371" w:rsidRPr="00946E02">
        <w:t xml:space="preserve"> consecução da transparência fisca</w:t>
      </w:r>
      <w:r w:rsidR="003B3114" w:rsidRPr="00946E02">
        <w:t>l e</w:t>
      </w:r>
      <w:r w:rsidR="00BC034B" w:rsidRPr="00946E02">
        <w:t xml:space="preserve">, consequentemente, </w:t>
      </w:r>
      <w:r w:rsidR="00D53DC3" w:rsidRPr="00946E02">
        <w:t xml:space="preserve">estimula </w:t>
      </w:r>
      <w:r w:rsidR="00871263" w:rsidRPr="00946E02">
        <w:t>a</w:t>
      </w:r>
      <w:r w:rsidR="003B3114" w:rsidRPr="00946E02">
        <w:t xml:space="preserve"> participação da sociedade </w:t>
      </w:r>
      <w:r w:rsidR="00D95F8D" w:rsidRPr="00946E02">
        <w:t>nas finanças do governo.</w:t>
      </w:r>
    </w:p>
    <w:p w14:paraId="63257D70" w14:textId="77777777" w:rsidR="004369C0" w:rsidRPr="00946E02" w:rsidRDefault="004369C0" w:rsidP="00D70A22"/>
    <w:p w14:paraId="0B913363" w14:textId="10B6157E" w:rsidR="00C81816" w:rsidRDefault="00C81816" w:rsidP="00880397">
      <w:pPr>
        <w:pStyle w:val="Ttulo2"/>
      </w:pPr>
      <w:bookmarkStart w:id="4" w:name="_Toc16087688"/>
      <w:r w:rsidRPr="009F43D7">
        <w:t>1.</w:t>
      </w:r>
      <w:r w:rsidR="008C658D" w:rsidRPr="009F43D7">
        <w:t>2</w:t>
      </w:r>
      <w:r w:rsidR="00E763D8">
        <w:t>.</w:t>
      </w:r>
      <w:r w:rsidRPr="009F43D7">
        <w:t xml:space="preserve"> </w:t>
      </w:r>
      <w:r w:rsidR="009F43D7">
        <w:t>O</w:t>
      </w:r>
      <w:r w:rsidR="004369C0">
        <w:t>bjetivos</w:t>
      </w:r>
      <w:bookmarkEnd w:id="4"/>
    </w:p>
    <w:p w14:paraId="42D151BA" w14:textId="77777777" w:rsidR="002F657B" w:rsidRDefault="002F657B" w:rsidP="00D70A22"/>
    <w:p w14:paraId="08435520" w14:textId="6166E0F7" w:rsidR="00D552F8" w:rsidRPr="00946E02" w:rsidRDefault="006D4761" w:rsidP="00D70A22">
      <w:r w:rsidRPr="00946E02">
        <w:t xml:space="preserve">O presente trabalho tem como </w:t>
      </w:r>
      <w:r w:rsidR="00364C74" w:rsidRPr="00946E02">
        <w:t>objetivo</w:t>
      </w:r>
      <w:r w:rsidR="007E6A26" w:rsidRPr="00946E02">
        <w:t xml:space="preserve"> </w:t>
      </w:r>
      <w:r w:rsidR="00866BA5" w:rsidRPr="00946E02">
        <w:t>responder</w:t>
      </w:r>
      <w:r w:rsidR="00B92AB8" w:rsidRPr="00946E02">
        <w:t xml:space="preserve"> </w:t>
      </w:r>
      <w:r w:rsidR="00AF7ED4" w:rsidRPr="00946E02">
        <w:t>ao questionamento se</w:t>
      </w:r>
      <w:r w:rsidR="00DE23DF" w:rsidRPr="00946E02">
        <w:t xml:space="preserve"> há</w:t>
      </w:r>
      <w:r w:rsidR="00B92AB8" w:rsidRPr="00946E02">
        <w:t xml:space="preserve"> </w:t>
      </w:r>
      <w:r w:rsidR="002730E2" w:rsidRPr="00946E02">
        <w:t>uniformidade</w:t>
      </w:r>
      <w:r w:rsidR="00B92AB8" w:rsidRPr="00946E02">
        <w:t xml:space="preserve"> </w:t>
      </w:r>
      <w:r w:rsidR="00D62208" w:rsidRPr="00946E02">
        <w:t xml:space="preserve">entre </w:t>
      </w:r>
      <w:r w:rsidR="00364C74" w:rsidRPr="00946E02">
        <w:t>os números e as nomenclaturas empregadas na divulgação de</w:t>
      </w:r>
      <w:r w:rsidR="00F96182" w:rsidRPr="00946E02">
        <w:t xml:space="preserve"> dados relativos aos gastos com pessoal, com previdência e com investimento nos </w:t>
      </w:r>
      <w:r w:rsidR="00364C74" w:rsidRPr="00946E02">
        <w:t>relatórios</w:t>
      </w:r>
      <w:r w:rsidR="00F96182" w:rsidRPr="00946E02">
        <w:t xml:space="preserve"> Boletim </w:t>
      </w:r>
      <w:r w:rsidR="0076554C" w:rsidRPr="00946E02">
        <w:t xml:space="preserve">de Finanças </w:t>
      </w:r>
      <w:r w:rsidR="00F96182" w:rsidRPr="00946E02">
        <w:t>dos Entes Subnacionais, Estatísticas Fiscais Trimestrais</w:t>
      </w:r>
      <w:r w:rsidR="00542E06" w:rsidRPr="00946E02">
        <w:t xml:space="preserve"> do Governo Geral</w:t>
      </w:r>
      <w:r w:rsidR="00F96182" w:rsidRPr="00946E02">
        <w:t xml:space="preserve"> </w:t>
      </w:r>
      <w:r w:rsidR="00327B67" w:rsidRPr="00946E02">
        <w:t>e Resultado do Tesouro Nacional</w:t>
      </w:r>
      <w:r w:rsidR="00626EFF" w:rsidRPr="00946E02">
        <w:t xml:space="preserve"> (RTN)</w:t>
      </w:r>
      <w:r w:rsidR="001F53E3" w:rsidRPr="00946E02">
        <w:t>,</w:t>
      </w:r>
      <w:r w:rsidR="00712F64" w:rsidRPr="00946E02">
        <w:t xml:space="preserve"> todos </w:t>
      </w:r>
      <w:r w:rsidR="00340D2F" w:rsidRPr="00946E02">
        <w:t>confeccionados pela Secretaria do Tesouro Nacional</w:t>
      </w:r>
      <w:r w:rsidR="00AF7ED4" w:rsidRPr="00946E02">
        <w:t>.</w:t>
      </w:r>
      <w:r w:rsidR="004E4B9B" w:rsidRPr="00946E02">
        <w:t xml:space="preserve"> </w:t>
      </w:r>
      <w:r w:rsidR="006C34BC" w:rsidRPr="00946E02">
        <w:t>O resultado</w:t>
      </w:r>
      <w:r w:rsidR="004E4B9B" w:rsidRPr="00946E02">
        <w:t xml:space="preserve"> </w:t>
      </w:r>
      <w:r w:rsidR="006C34BC" w:rsidRPr="00946E02">
        <w:t>d</w:t>
      </w:r>
      <w:r w:rsidR="004E4B9B" w:rsidRPr="00946E02">
        <w:t>essa questão</w:t>
      </w:r>
      <w:r w:rsidR="00CB62FF" w:rsidRPr="00946E02">
        <w:t xml:space="preserve"> </w:t>
      </w:r>
      <w:r w:rsidR="008D51CC" w:rsidRPr="00946E02">
        <w:t xml:space="preserve">pode </w:t>
      </w:r>
      <w:r w:rsidR="00DB7A98" w:rsidRPr="00946E02">
        <w:t>impacta</w:t>
      </w:r>
      <w:r w:rsidR="008D51CC" w:rsidRPr="00946E02">
        <w:t>r</w:t>
      </w:r>
      <w:r w:rsidR="00CB62FF" w:rsidRPr="00946E02">
        <w:t xml:space="preserve"> a inteligibilidade da mensagem transmitida ao público em geral.</w:t>
      </w:r>
      <w:r w:rsidR="009F6520" w:rsidRPr="00946E02">
        <w:t xml:space="preserve"> </w:t>
      </w:r>
    </w:p>
    <w:p w14:paraId="4FAC9375" w14:textId="765528AB" w:rsidR="00A03208" w:rsidRPr="00946E02" w:rsidRDefault="00CD7E4B" w:rsidP="00D70A22">
      <w:r w:rsidRPr="00946E02">
        <w:t xml:space="preserve">Isso </w:t>
      </w:r>
      <w:r w:rsidR="00FC65EB" w:rsidRPr="00946E02">
        <w:t>se dá</w:t>
      </w:r>
      <w:r w:rsidRPr="00946E02">
        <w:t xml:space="preserve"> porque, c</w:t>
      </w:r>
      <w:r w:rsidR="009F673A" w:rsidRPr="00946E02">
        <w:t xml:space="preserve">aso haja </w:t>
      </w:r>
      <w:r w:rsidR="004A256A" w:rsidRPr="00946E02">
        <w:t xml:space="preserve">não apenas </w:t>
      </w:r>
      <w:r w:rsidR="00E244CA" w:rsidRPr="00946E02">
        <w:t>diferentes número</w:t>
      </w:r>
      <w:r w:rsidR="009C17AB" w:rsidRPr="00946E02">
        <w:t>s</w:t>
      </w:r>
      <w:r w:rsidR="00E244CA" w:rsidRPr="00946E02">
        <w:t xml:space="preserve"> divulgados nos relatórios, como também </w:t>
      </w:r>
      <w:r w:rsidR="003C3899" w:rsidRPr="00946E02">
        <w:t>diferença na nomenclatura com que são tratadas as informações de pessoal, de previdência e de investimento</w:t>
      </w:r>
      <w:r w:rsidR="00B36923" w:rsidRPr="00946E02">
        <w:t>, essa situação pode acarretar na necessidade</w:t>
      </w:r>
      <w:r w:rsidR="00156EC5" w:rsidRPr="00946E02">
        <w:t xml:space="preserve"> de um maior esforço do receptor da mensagem no intuito de compreender a informação transmitida pela STN, prejudicando a transparência dos relatórios.</w:t>
      </w:r>
    </w:p>
    <w:p w14:paraId="7FE0FBC5" w14:textId="735F0098" w:rsidR="00364C74" w:rsidRPr="00946E02" w:rsidRDefault="00652938" w:rsidP="00D70A22">
      <w:r w:rsidRPr="00946E02">
        <w:t>Para</w:t>
      </w:r>
      <w:r w:rsidR="00207620" w:rsidRPr="00946E02">
        <w:t xml:space="preserve"> </w:t>
      </w:r>
      <w:r w:rsidR="001A137A" w:rsidRPr="00946E02">
        <w:t>a</w:t>
      </w:r>
      <w:r w:rsidR="00416CF1" w:rsidRPr="00946E02">
        <w:t>lcançar uma</w:t>
      </w:r>
      <w:r w:rsidR="001A137A" w:rsidRPr="00946E02">
        <w:t xml:space="preserve"> </w:t>
      </w:r>
      <w:r w:rsidR="00080F95" w:rsidRPr="00946E02">
        <w:t xml:space="preserve">objetiva </w:t>
      </w:r>
      <w:r w:rsidR="001A137A" w:rsidRPr="00946E02">
        <w:t>avaliação das semelhanças e das difere</w:t>
      </w:r>
      <w:r w:rsidR="00013827" w:rsidRPr="00946E02">
        <w:t>nças</w:t>
      </w:r>
      <w:r w:rsidR="00616C54" w:rsidRPr="00946E02">
        <w:t xml:space="preserve"> entre os números e as nomenclaturas </w:t>
      </w:r>
      <w:r w:rsidR="001A6C1F" w:rsidRPr="00946E02">
        <w:t>apresentadas</w:t>
      </w:r>
      <w:r w:rsidR="00364C74" w:rsidRPr="00946E02">
        <w:t xml:space="preserve">, esse trabalho </w:t>
      </w:r>
      <w:r w:rsidR="0015048B" w:rsidRPr="00946E02">
        <w:t>busca</w:t>
      </w:r>
      <w:r w:rsidR="00364C74" w:rsidRPr="00946E02">
        <w:t xml:space="preserve"> caracterizar a motivação,</w:t>
      </w:r>
      <w:r w:rsidR="00411377" w:rsidRPr="00946E02">
        <w:t xml:space="preserve"> a</w:t>
      </w:r>
      <w:r w:rsidR="00364C74" w:rsidRPr="00946E02">
        <w:t xml:space="preserve"> metodologia e </w:t>
      </w:r>
      <w:r w:rsidR="00411377" w:rsidRPr="00946E02">
        <w:t xml:space="preserve">a </w:t>
      </w:r>
      <w:r w:rsidR="00364C74" w:rsidRPr="00946E02">
        <w:t>abrangência dos relatórios objetos do estudo</w:t>
      </w:r>
      <w:r w:rsidR="007E43B3" w:rsidRPr="00946E02">
        <w:t>, bem como</w:t>
      </w:r>
      <w:r w:rsidR="00364C74" w:rsidRPr="00946E02">
        <w:t xml:space="preserve"> </w:t>
      </w:r>
      <w:r w:rsidR="00EE5844" w:rsidRPr="00946E02">
        <w:t>esclarecer</w:t>
      </w:r>
      <w:r w:rsidR="00364C74" w:rsidRPr="00946E02">
        <w:t xml:space="preserve"> a composição dos números publicados</w:t>
      </w:r>
      <w:r w:rsidR="002F2A9C" w:rsidRPr="00946E02">
        <w:t xml:space="preserve"> </w:t>
      </w:r>
      <w:r w:rsidR="00364C74" w:rsidRPr="00946E02">
        <w:t xml:space="preserve">para </w:t>
      </w:r>
      <w:r w:rsidR="00D213CD" w:rsidRPr="00946E02">
        <w:t xml:space="preserve">cada </w:t>
      </w:r>
      <w:r w:rsidR="00364C74" w:rsidRPr="00946E02">
        <w:t>tema.</w:t>
      </w:r>
    </w:p>
    <w:p w14:paraId="52323213" w14:textId="4C8D734F" w:rsidR="008C658D" w:rsidRDefault="009B7647" w:rsidP="00D70A22">
      <w:r w:rsidRPr="00946E02">
        <w:t>Ademais</w:t>
      </w:r>
      <w:r w:rsidR="003A0D65" w:rsidRPr="00946E02">
        <w:t xml:space="preserve">, para a </w:t>
      </w:r>
      <w:r w:rsidR="00140244" w:rsidRPr="00946E02">
        <w:t>ponderação</w:t>
      </w:r>
      <w:r w:rsidR="003A0D65" w:rsidRPr="00946E02">
        <w:t xml:space="preserve"> da interlocução com o público, faz-se necessário examinar</w:t>
      </w:r>
      <w:r w:rsidR="00017841" w:rsidRPr="00946E02">
        <w:t xml:space="preserve"> brevemente </w:t>
      </w:r>
      <w:r w:rsidR="00AF6788" w:rsidRPr="00946E02">
        <w:t>o</w:t>
      </w:r>
      <w:r w:rsidR="003A0D65" w:rsidRPr="00946E02">
        <w:t xml:space="preserve"> processo de comunicação</w:t>
      </w:r>
      <w:r w:rsidR="00E000C6" w:rsidRPr="00946E02">
        <w:t>, desde o modelo que elenca</w:t>
      </w:r>
      <w:r w:rsidR="00E473F7" w:rsidRPr="00946E02">
        <w:t xml:space="preserve"> os elementos básicos de uma transmissão de mensagem, até </w:t>
      </w:r>
      <w:r w:rsidR="00F717C3" w:rsidRPr="00946E02">
        <w:t xml:space="preserve">alcançar a evolução do papel do </w:t>
      </w:r>
      <w:r w:rsidR="0015107A" w:rsidRPr="00946E02">
        <w:t>receptor</w:t>
      </w:r>
      <w:r w:rsidR="00F717C3" w:rsidRPr="00946E02">
        <w:t xml:space="preserve"> na </w:t>
      </w:r>
      <w:r w:rsidR="001C772E" w:rsidRPr="00946E02">
        <w:t>construção</w:t>
      </w:r>
      <w:r w:rsidR="00F717C3" w:rsidRPr="00946E02">
        <w:t xml:space="preserve"> </w:t>
      </w:r>
      <w:r w:rsidR="0015107A" w:rsidRPr="00946E02">
        <w:t>da informação.</w:t>
      </w:r>
      <w:r w:rsidR="003A0D65" w:rsidRPr="00946E02">
        <w:t xml:space="preserve"> </w:t>
      </w:r>
      <w:r w:rsidR="00486950" w:rsidRPr="00946E02">
        <w:t>Esses aspectos são relevantes</w:t>
      </w:r>
      <w:r w:rsidR="007A483F" w:rsidRPr="00946E02">
        <w:t xml:space="preserve"> </w:t>
      </w:r>
      <w:r w:rsidR="009F57A5" w:rsidRPr="00946E02">
        <w:t xml:space="preserve">para fundamentar a reflexão </w:t>
      </w:r>
      <w:r w:rsidR="00DE1D5B" w:rsidRPr="00946E02">
        <w:t>sobre</w:t>
      </w:r>
      <w:r w:rsidR="002B170F" w:rsidRPr="00946E02">
        <w:t xml:space="preserve"> </w:t>
      </w:r>
      <w:r w:rsidR="00172DCF" w:rsidRPr="00946E02">
        <w:t>a transparência governament</w:t>
      </w:r>
      <w:r w:rsidR="008C071E" w:rsidRPr="00946E02">
        <w:t>al</w:t>
      </w:r>
      <w:r w:rsidR="00A23458" w:rsidRPr="00946E02">
        <w:t xml:space="preserve"> </w:t>
      </w:r>
      <w:r w:rsidR="00D46503" w:rsidRPr="00946E02">
        <w:t>almejada</w:t>
      </w:r>
      <w:r w:rsidR="00A23458" w:rsidRPr="00946E02">
        <w:t xml:space="preserve"> pelos</w:t>
      </w:r>
      <w:r w:rsidR="008C071E" w:rsidRPr="00946E02">
        <w:t xml:space="preserve"> três documentos</w:t>
      </w:r>
      <w:r w:rsidR="00EB605A" w:rsidRPr="00946E02">
        <w:t xml:space="preserve">, ou seja, a compreensão e </w:t>
      </w:r>
      <w:r w:rsidR="00C5263F" w:rsidRPr="00946E02">
        <w:t xml:space="preserve">o </w:t>
      </w:r>
      <w:r w:rsidR="00EB605A" w:rsidRPr="00946E02">
        <w:t>uso pela sociedade</w:t>
      </w:r>
      <w:r w:rsidR="00C826D7" w:rsidRPr="00946E02">
        <w:t xml:space="preserve"> </w:t>
      </w:r>
      <w:r w:rsidR="005B0A93" w:rsidRPr="00946E02">
        <w:t>dos dados divulgados</w:t>
      </w:r>
      <w:r w:rsidR="00EB605A" w:rsidRPr="00946E02">
        <w:t>,</w:t>
      </w:r>
      <w:r w:rsidR="008C071E" w:rsidRPr="00946E02">
        <w:t xml:space="preserve"> </w:t>
      </w:r>
      <w:r w:rsidR="00B41C55" w:rsidRPr="00946E02">
        <w:t xml:space="preserve">que </w:t>
      </w:r>
      <w:r w:rsidR="00300385" w:rsidRPr="00946E02">
        <w:t>pode ser afetada</w:t>
      </w:r>
      <w:r w:rsidR="00817179" w:rsidRPr="00946E02">
        <w:t xml:space="preserve"> </w:t>
      </w:r>
      <w:r w:rsidR="001B1E38" w:rsidRPr="00946E02">
        <w:t>pel</w:t>
      </w:r>
      <w:r w:rsidR="002B557A" w:rsidRPr="00946E02">
        <w:t xml:space="preserve">a exposição conjunta </w:t>
      </w:r>
      <w:r w:rsidR="001B1E38" w:rsidRPr="00946E02">
        <w:t xml:space="preserve">dos </w:t>
      </w:r>
      <w:r w:rsidR="005B0A93" w:rsidRPr="00946E02">
        <w:t>relatórios</w:t>
      </w:r>
      <w:r w:rsidR="00403154" w:rsidRPr="00946E02">
        <w:t xml:space="preserve">, </w:t>
      </w:r>
      <w:r w:rsidR="0098153D" w:rsidRPr="00946E02">
        <w:t xml:space="preserve">na hipótese de </w:t>
      </w:r>
      <w:r w:rsidR="00420272" w:rsidRPr="00946E02">
        <w:t>ocorr</w:t>
      </w:r>
      <w:r w:rsidR="0098153D" w:rsidRPr="00946E02">
        <w:t>er</w:t>
      </w:r>
      <w:r w:rsidR="005B0A93" w:rsidRPr="00946E02">
        <w:t xml:space="preserve"> </w:t>
      </w:r>
      <w:r w:rsidR="00FC4E85" w:rsidRPr="00946E02">
        <w:t>informações</w:t>
      </w:r>
      <w:r w:rsidR="004D4276" w:rsidRPr="00946E02">
        <w:t xml:space="preserve"> </w:t>
      </w:r>
      <w:r w:rsidR="00F044AD" w:rsidRPr="00946E02">
        <w:t>conflitantes</w:t>
      </w:r>
      <w:r w:rsidR="00403154" w:rsidRPr="00946E02">
        <w:t xml:space="preserve"> </w:t>
      </w:r>
      <w:r w:rsidR="005B0A93" w:rsidRPr="00946E02">
        <w:t>para um mesmo tema</w:t>
      </w:r>
      <w:r w:rsidR="00403154" w:rsidRPr="00946E02">
        <w:t>.</w:t>
      </w:r>
    </w:p>
    <w:p w14:paraId="698D79EF" w14:textId="77777777" w:rsidR="004369C0" w:rsidRPr="00946E02" w:rsidRDefault="004369C0" w:rsidP="00D70A22"/>
    <w:p w14:paraId="65840AC0" w14:textId="34634EC0" w:rsidR="00322F8A" w:rsidRPr="009F43D7" w:rsidRDefault="008C658D" w:rsidP="00880397">
      <w:pPr>
        <w:pStyle w:val="Ttulo2"/>
      </w:pPr>
      <w:bookmarkStart w:id="5" w:name="_Toc16087689"/>
      <w:r w:rsidRPr="009F43D7">
        <w:t>1.3</w:t>
      </w:r>
      <w:r w:rsidR="00E763D8">
        <w:t>.</w:t>
      </w:r>
      <w:r w:rsidRPr="009F43D7">
        <w:t xml:space="preserve"> </w:t>
      </w:r>
      <w:r w:rsidR="00E10C50" w:rsidRPr="009F43D7">
        <w:t xml:space="preserve">Revisão bibliográfica </w:t>
      </w:r>
      <w:r w:rsidR="0067570A" w:rsidRPr="009F43D7">
        <w:t>sobre o</w:t>
      </w:r>
      <w:r w:rsidR="00FE0AE4" w:rsidRPr="009F43D7">
        <w:t xml:space="preserve">s fundamentos do processo de comunicação </w:t>
      </w:r>
      <w:r w:rsidR="00322F8A" w:rsidRPr="009F43D7">
        <w:t xml:space="preserve">e </w:t>
      </w:r>
      <w:r w:rsidR="00BD2DCF" w:rsidRPr="009F43D7">
        <w:t xml:space="preserve">a </w:t>
      </w:r>
      <w:r w:rsidR="00E37B2C" w:rsidRPr="009F43D7">
        <w:t>relação</w:t>
      </w:r>
      <w:r w:rsidR="00BD2DCF" w:rsidRPr="009F43D7">
        <w:t xml:space="preserve"> </w:t>
      </w:r>
      <w:r w:rsidR="002A7B11" w:rsidRPr="009F43D7">
        <w:t>com o</w:t>
      </w:r>
      <w:r w:rsidR="00322F8A" w:rsidRPr="009F43D7">
        <w:t xml:space="preserve"> conceito de transparência</w:t>
      </w:r>
      <w:bookmarkEnd w:id="5"/>
    </w:p>
    <w:p w14:paraId="159D53A6" w14:textId="33BAD8E7" w:rsidR="00322F8A" w:rsidRPr="00946E02" w:rsidRDefault="00322F8A" w:rsidP="00D70A22">
      <w:bookmarkStart w:id="6" w:name="_Toc13455190"/>
      <w:r w:rsidRPr="00946E02">
        <w:lastRenderedPageBreak/>
        <w:t xml:space="preserve">No </w:t>
      </w:r>
      <w:r w:rsidRPr="00795F76">
        <w:t xml:space="preserve">Código de </w:t>
      </w:r>
      <w:r w:rsidR="00C7110C">
        <w:t>B</w:t>
      </w:r>
      <w:r w:rsidRPr="00795F76">
        <w:t xml:space="preserve">oas </w:t>
      </w:r>
      <w:r w:rsidR="00C7110C">
        <w:t>P</w:t>
      </w:r>
      <w:r w:rsidRPr="00795F76">
        <w:t xml:space="preserve">ráticas para </w:t>
      </w:r>
      <w:r w:rsidR="00C7110C">
        <w:t>T</w:t>
      </w:r>
      <w:r w:rsidRPr="00795F76">
        <w:t xml:space="preserve">ransparência </w:t>
      </w:r>
      <w:r w:rsidR="00C7110C">
        <w:t>F</w:t>
      </w:r>
      <w:r w:rsidRPr="00795F76">
        <w:t>iscal</w:t>
      </w:r>
      <w:r w:rsidRPr="00946E02">
        <w:t>, publicado pelo FMI em 2007, as principais questões avaliadas têm por foco “a definição clara de funções e responsabilidade, a transparência dos processos orçamentários, o acesso público à informação e as garantias de integridade”. O objeto de atenção se concentra na divulgação das informações do governo e, como se pode inferir, não há menção aos aspectos inerentes à recepção do conteúdo informado.</w:t>
      </w:r>
      <w:bookmarkEnd w:id="6"/>
      <w:r w:rsidRPr="00946E02">
        <w:t xml:space="preserve"> </w:t>
      </w:r>
    </w:p>
    <w:p w14:paraId="0843B269" w14:textId="4EEC0DE2" w:rsidR="00BF156A" w:rsidRDefault="00322F8A" w:rsidP="00D70A22">
      <w:bookmarkStart w:id="7" w:name="_Toc13455191"/>
      <w:r w:rsidRPr="00946E02">
        <w:t>Assim, com o intuito de desenvolver a camada de transparência fiscal que se encarrega da compreensão da mensagem, faz-se necessário uma aproximação com as teorias de comunicação. Por tratar exatamente do processo comunicacional, essas teorias podem fornecer subsídios à reflexão acerca da efetiva função dos documentos emitidos pela STN, a ponto de indicar perspectivas a serem trabalhadas para uma melhor comunicação dos objetivos institucionais à sociedade.</w:t>
      </w:r>
      <w:bookmarkEnd w:id="7"/>
    </w:p>
    <w:p w14:paraId="50DD688C" w14:textId="77777777" w:rsidR="00997362" w:rsidRPr="00946E02" w:rsidRDefault="00997362" w:rsidP="00D70A22"/>
    <w:p w14:paraId="1AAC3716" w14:textId="60D0FCA1" w:rsidR="00322F8A" w:rsidRDefault="002F22DE" w:rsidP="00D70A22">
      <w:pPr>
        <w:pStyle w:val="Ttulo3"/>
      </w:pPr>
      <w:bookmarkStart w:id="8" w:name="_Toc16087690"/>
      <w:r w:rsidRPr="00F9640E">
        <w:t>1</w:t>
      </w:r>
      <w:r w:rsidR="00322F8A" w:rsidRPr="00F9640E">
        <w:t>.</w:t>
      </w:r>
      <w:r w:rsidRPr="00F9640E">
        <w:t>3.</w:t>
      </w:r>
      <w:r w:rsidR="00322F8A" w:rsidRPr="00F9640E">
        <w:t>1</w:t>
      </w:r>
      <w:r w:rsidR="00E763D8">
        <w:t>.</w:t>
      </w:r>
      <w:r w:rsidR="00322F8A" w:rsidRPr="00F9640E">
        <w:t xml:space="preserve"> Transparência como </w:t>
      </w:r>
      <w:r w:rsidR="007637F4" w:rsidRPr="00F9640E">
        <w:t>abertura</w:t>
      </w:r>
      <w:r w:rsidR="00F62BF6" w:rsidRPr="00F9640E">
        <w:t xml:space="preserve"> do Estado à sociedade</w:t>
      </w:r>
      <w:r w:rsidR="00322F8A" w:rsidRPr="00F9640E">
        <w:t xml:space="preserve"> e </w:t>
      </w:r>
      <w:r w:rsidR="00AB528F" w:rsidRPr="00F9640E">
        <w:t>a limitação da</w:t>
      </w:r>
      <w:r w:rsidR="00322F8A" w:rsidRPr="00F9640E">
        <w:t xml:space="preserve"> teoria matemática de comunicação</w:t>
      </w:r>
      <w:bookmarkEnd w:id="8"/>
    </w:p>
    <w:p w14:paraId="567A53A2" w14:textId="77777777" w:rsidR="002F657B" w:rsidRDefault="002F657B" w:rsidP="00D70A22">
      <w:bookmarkStart w:id="9" w:name="_Toc13455193"/>
    </w:p>
    <w:p w14:paraId="3DE8AF65" w14:textId="75339224" w:rsidR="003B321F" w:rsidRPr="00946E02" w:rsidRDefault="00322F8A" w:rsidP="00D70A22">
      <w:r w:rsidRPr="00946E02">
        <w:t xml:space="preserve">No período da redemocratização brasileira, a Constituição Federal de 1988 </w:t>
      </w:r>
      <w:r w:rsidR="00B1262D" w:rsidRPr="00946E02">
        <w:t>destacou</w:t>
      </w:r>
      <w:r w:rsidR="008E5C2D" w:rsidRPr="00946E02">
        <w:t xml:space="preserve">, em seu artigo 37, a importância da transparência </w:t>
      </w:r>
      <w:r w:rsidR="00B408C7" w:rsidRPr="00946E02">
        <w:t xml:space="preserve">para o País </w:t>
      </w:r>
      <w:r w:rsidR="00CA0CCC" w:rsidRPr="00946E02">
        <w:t xml:space="preserve">ao estabelecer </w:t>
      </w:r>
      <w:r w:rsidR="00F26C01" w:rsidRPr="00946E02">
        <w:t>que “</w:t>
      </w:r>
      <w:r w:rsidR="00F26C01" w:rsidRPr="00946E02">
        <w:rPr>
          <w:rFonts w:eastAsia="Calibri"/>
        </w:rPr>
        <w:t>o povo tem o direito de conhecer os atos praticados na administração pública para o exercício do controle social”.</w:t>
      </w:r>
      <w:r w:rsidR="008D1550" w:rsidRPr="00946E02">
        <w:rPr>
          <w:rFonts w:eastAsia="Calibri"/>
        </w:rPr>
        <w:t xml:space="preserve"> </w:t>
      </w:r>
      <w:r w:rsidR="00E74DE8" w:rsidRPr="00946E02">
        <w:rPr>
          <w:rFonts w:eastAsia="Calibri"/>
        </w:rPr>
        <w:t>D</w:t>
      </w:r>
      <w:r w:rsidR="006E5793" w:rsidRPr="00946E02">
        <w:rPr>
          <w:rFonts w:eastAsia="Calibri"/>
        </w:rPr>
        <w:t xml:space="preserve">e acordo com </w:t>
      </w:r>
      <w:r w:rsidR="00AB52F8" w:rsidRPr="00946E02">
        <w:rPr>
          <w:rFonts w:eastAsia="Calibri"/>
        </w:rPr>
        <w:t xml:space="preserve">Bobbio (2000), </w:t>
      </w:r>
      <w:r w:rsidR="000035A5" w:rsidRPr="00946E02">
        <w:rPr>
          <w:rFonts w:eastAsia="Calibri"/>
        </w:rPr>
        <w:t>justamente ess</w:t>
      </w:r>
      <w:r w:rsidR="00660A05" w:rsidRPr="00946E02">
        <w:rPr>
          <w:rFonts w:eastAsia="Calibri"/>
        </w:rPr>
        <w:t xml:space="preserve">a publicidade </w:t>
      </w:r>
      <w:r w:rsidR="000D36F3" w:rsidRPr="00946E02">
        <w:rPr>
          <w:rFonts w:eastAsia="Calibri"/>
        </w:rPr>
        <w:t>das ações e decisões dos governantes</w:t>
      </w:r>
      <w:r w:rsidR="00E874A3" w:rsidRPr="00946E02">
        <w:rPr>
          <w:rFonts w:eastAsia="Calibri"/>
        </w:rPr>
        <w:t xml:space="preserve"> </w:t>
      </w:r>
      <w:r w:rsidR="002062B6" w:rsidRPr="00946E02">
        <w:rPr>
          <w:rFonts w:eastAsia="Calibri"/>
        </w:rPr>
        <w:t xml:space="preserve">sublinha a diferença entre </w:t>
      </w:r>
      <w:r w:rsidR="00250873" w:rsidRPr="00946E02">
        <w:rPr>
          <w:rFonts w:eastAsia="Calibri"/>
        </w:rPr>
        <w:t xml:space="preserve">um governo democrático e um </w:t>
      </w:r>
      <w:r w:rsidR="00E74DE8" w:rsidRPr="00946E02">
        <w:rPr>
          <w:rFonts w:eastAsia="Calibri"/>
        </w:rPr>
        <w:t xml:space="preserve">autocrático. </w:t>
      </w:r>
      <w:r w:rsidR="00BE5F36" w:rsidRPr="00946E02">
        <w:rPr>
          <w:rFonts w:eastAsia="Calibri"/>
        </w:rPr>
        <w:t>Em vista</w:t>
      </w:r>
      <w:r w:rsidR="008D1550" w:rsidRPr="00946E02">
        <w:rPr>
          <w:rFonts w:eastAsia="Calibri"/>
        </w:rPr>
        <w:t xml:space="preserve"> disso, </w:t>
      </w:r>
      <w:r w:rsidRPr="00946E02">
        <w:t>a previsão na carta magna de instrumentos (Plano Plurianual</w:t>
      </w:r>
      <w:r w:rsidR="00772FFF" w:rsidRPr="00946E02">
        <w:t xml:space="preserve"> </w:t>
      </w:r>
      <w:r w:rsidR="00CF215B" w:rsidRPr="00946E02">
        <w:t>–</w:t>
      </w:r>
      <w:r w:rsidR="00772FFF" w:rsidRPr="00946E02">
        <w:t xml:space="preserve"> PPA</w:t>
      </w:r>
      <w:r w:rsidRPr="00946E02">
        <w:t>, Lei de Diretrizes Orçamentárias</w:t>
      </w:r>
      <w:r w:rsidR="00772FFF" w:rsidRPr="00946E02">
        <w:t xml:space="preserve"> </w:t>
      </w:r>
      <w:r w:rsidR="00CF215B" w:rsidRPr="00946E02">
        <w:t>–</w:t>
      </w:r>
      <w:r w:rsidR="00772FFF" w:rsidRPr="00946E02">
        <w:t xml:space="preserve"> LDO</w:t>
      </w:r>
      <w:r w:rsidR="00CF215B" w:rsidRPr="00946E02">
        <w:t>,</w:t>
      </w:r>
      <w:r w:rsidRPr="00946E02">
        <w:t xml:space="preserve"> e Lei Orçamentária Anual</w:t>
      </w:r>
      <w:r w:rsidR="00CF215B" w:rsidRPr="00946E02">
        <w:t xml:space="preserve"> – LOA</w:t>
      </w:r>
      <w:r w:rsidRPr="00946E02">
        <w:t>) pelos quais o orçamento se materializa institucionalizou um relevante marco para tornar público os números da gestão dos recursos federais</w:t>
      </w:r>
      <w:r w:rsidR="00132C49" w:rsidRPr="00946E02">
        <w:t xml:space="preserve"> (Brasil, 1988)</w:t>
      </w:r>
      <w:r w:rsidRPr="00946E02">
        <w:t>.</w:t>
      </w:r>
      <w:bookmarkEnd w:id="9"/>
      <w:r w:rsidRPr="00946E02">
        <w:t xml:space="preserve"> </w:t>
      </w:r>
    </w:p>
    <w:p w14:paraId="5BC9FC6A" w14:textId="2CED1B30" w:rsidR="00322F8A" w:rsidRPr="00946E02" w:rsidRDefault="00322F8A" w:rsidP="00D70A22">
      <w:bookmarkStart w:id="10" w:name="_Toc13455194"/>
      <w:r w:rsidRPr="00946E02">
        <w:t>A Lei de Responsabilidade Fiscal</w:t>
      </w:r>
      <w:r w:rsidR="00325497" w:rsidRPr="00946E02">
        <w:t xml:space="preserve"> (LRF)</w:t>
      </w:r>
      <w:r w:rsidRPr="00946E02">
        <w:t>, de 2000, fortaleceu e determinou a ampla divulgação desses instrumentos orçamentários, além de criar relatórios de monitoramento da gestão fiscal, tais como o Relatório Resumido de Execução Orçamentário e o Relatório de Gestão Fiscal</w:t>
      </w:r>
      <w:r w:rsidR="00A726D0" w:rsidRPr="00946E02">
        <w:t xml:space="preserve"> (Brasil, 2000)</w:t>
      </w:r>
      <w:r w:rsidRPr="00946E02">
        <w:t>. Em 2011, a Lei de Acesso à Informação (LAI) criou mecanismos que possibilitam a qualquer pessoa o recebimento de informações públicas dos órgãos e entidades</w:t>
      </w:r>
      <w:r w:rsidR="00AB54F0" w:rsidRPr="00946E02">
        <w:t xml:space="preserve"> (Brasil</w:t>
      </w:r>
      <w:r w:rsidR="009D0B6D" w:rsidRPr="00946E02">
        <w:t>, 2011)</w:t>
      </w:r>
      <w:r w:rsidRPr="00946E02">
        <w:t>.</w:t>
      </w:r>
      <w:bookmarkEnd w:id="10"/>
      <w:r w:rsidR="00CF0C5B" w:rsidRPr="00946E02">
        <w:t xml:space="preserve"> </w:t>
      </w:r>
    </w:p>
    <w:p w14:paraId="1142B5B3" w14:textId="2779F2A3" w:rsidR="00DC05A1" w:rsidRPr="00946E02" w:rsidRDefault="00322F8A" w:rsidP="00D70A22">
      <w:bookmarkStart w:id="11" w:name="_Toc13455195"/>
      <w:r w:rsidRPr="00946E02">
        <w:t xml:space="preserve">Todas essas iniciativas legislativas demonstram o avanço na divulgação de dados do governo, </w:t>
      </w:r>
      <w:r w:rsidR="00527F78" w:rsidRPr="00946E02">
        <w:t>visando garantir a</w:t>
      </w:r>
      <w:r w:rsidRPr="00946E02">
        <w:t xml:space="preserve"> publicidade aos recursos e aos dispêndios públicos. </w:t>
      </w:r>
      <w:r w:rsidR="005B2007" w:rsidRPr="00946E02">
        <w:t xml:space="preserve">O </w:t>
      </w:r>
      <w:r w:rsidR="00296918" w:rsidRPr="00946E02">
        <w:t>foco</w:t>
      </w:r>
      <w:r w:rsidR="00B423B6" w:rsidRPr="00946E02">
        <w:t xml:space="preserve"> </w:t>
      </w:r>
      <w:r w:rsidR="0075350E" w:rsidRPr="00946E02">
        <w:t xml:space="preserve">e a necessidade </w:t>
      </w:r>
      <w:r w:rsidR="001E6FCC" w:rsidRPr="00946E02">
        <w:t>residem</w:t>
      </w:r>
      <w:r w:rsidR="00A61017" w:rsidRPr="00946E02">
        <w:t xml:space="preserve"> no aumento dos meios de acess</w:t>
      </w:r>
      <w:r w:rsidR="00F47198" w:rsidRPr="00946E02">
        <w:t xml:space="preserve">o </w:t>
      </w:r>
      <w:r w:rsidR="00971390" w:rsidRPr="00946E02">
        <w:t>a</w:t>
      </w:r>
      <w:r w:rsidR="00A61017" w:rsidRPr="00946E02">
        <w:t xml:space="preserve"> </w:t>
      </w:r>
      <w:r w:rsidR="0089266B" w:rsidRPr="00946E02">
        <w:t xml:space="preserve">informações e documentos da </w:t>
      </w:r>
      <w:r w:rsidR="0089266B" w:rsidRPr="00946E02">
        <w:lastRenderedPageBreak/>
        <w:t>Administração Pública</w:t>
      </w:r>
      <w:r w:rsidR="00C92202" w:rsidRPr="00946E02">
        <w:t xml:space="preserve">, </w:t>
      </w:r>
      <w:r w:rsidR="009A3A8B" w:rsidRPr="00946E02">
        <w:t>assim como</w:t>
      </w:r>
      <w:r w:rsidR="00C92202" w:rsidRPr="00946E02">
        <w:t xml:space="preserve"> </w:t>
      </w:r>
      <w:r w:rsidR="009A3A8B" w:rsidRPr="00946E02">
        <w:t>n</w:t>
      </w:r>
      <w:r w:rsidR="00955EC3" w:rsidRPr="00946E02">
        <w:t>a</w:t>
      </w:r>
      <w:r w:rsidR="00C92202" w:rsidRPr="00946E02">
        <w:t xml:space="preserve"> </w:t>
      </w:r>
      <w:r w:rsidR="001E6FCC" w:rsidRPr="00946E02">
        <w:t>consolidação</w:t>
      </w:r>
      <w:r w:rsidR="00387C3A" w:rsidRPr="00946E02">
        <w:t xml:space="preserve"> </w:t>
      </w:r>
      <w:r w:rsidR="00955EC3" w:rsidRPr="00946E02">
        <w:t>d</w:t>
      </w:r>
      <w:r w:rsidR="00387C3A" w:rsidRPr="00946E02">
        <w:t>o sigilo</w:t>
      </w:r>
      <w:r w:rsidR="00EF50F8" w:rsidRPr="00946E02">
        <w:t xml:space="preserve"> </w:t>
      </w:r>
      <w:r w:rsidR="005500FE" w:rsidRPr="00946E02">
        <w:t>da coisa pública</w:t>
      </w:r>
      <w:r w:rsidR="00955EC3" w:rsidRPr="00946E02">
        <w:t xml:space="preserve"> como</w:t>
      </w:r>
      <w:r w:rsidR="00387C3A" w:rsidRPr="00946E02">
        <w:t xml:space="preserve"> exce</w:t>
      </w:r>
      <w:r w:rsidR="00B36B32" w:rsidRPr="00946E02">
        <w:t>ç</w:t>
      </w:r>
      <w:r w:rsidR="00387C3A" w:rsidRPr="00946E02">
        <w:t xml:space="preserve">ão </w:t>
      </w:r>
      <w:r w:rsidR="00B156EF" w:rsidRPr="00946E02">
        <w:t>à norma geral</w:t>
      </w:r>
      <w:r w:rsidR="009C68FA" w:rsidRPr="00946E02">
        <w:t>, e não o contrário</w:t>
      </w:r>
      <w:r w:rsidR="001A2D05" w:rsidRPr="00946E02">
        <w:t>, como ocorria no passado recente</w:t>
      </w:r>
      <w:r w:rsidR="00B156EF" w:rsidRPr="00946E02">
        <w:t xml:space="preserve"> </w:t>
      </w:r>
      <w:r w:rsidR="00387C3A" w:rsidRPr="00946E02">
        <w:t>(</w:t>
      </w:r>
      <w:r w:rsidR="00B36B32" w:rsidRPr="00946E02">
        <w:t>CGU, 20</w:t>
      </w:r>
      <w:r w:rsidR="00857FB2">
        <w:t>12</w:t>
      </w:r>
      <w:r w:rsidR="00B36B32" w:rsidRPr="00946E02">
        <w:t xml:space="preserve">). </w:t>
      </w:r>
      <w:r w:rsidR="00762CF2" w:rsidRPr="00946E02">
        <w:t xml:space="preserve">Para </w:t>
      </w:r>
      <w:proofErr w:type="spellStart"/>
      <w:r w:rsidR="00762CF2" w:rsidRPr="00946E02">
        <w:t>Birkinshaw</w:t>
      </w:r>
      <w:proofErr w:type="spellEnd"/>
      <w:r w:rsidR="00762CF2" w:rsidRPr="00946E02">
        <w:t xml:space="preserve"> (2006), a liberdade de informação </w:t>
      </w:r>
      <w:r w:rsidR="001D2250" w:rsidRPr="00946E02">
        <w:t xml:space="preserve">se relaciona com o direito </w:t>
      </w:r>
      <w:r w:rsidR="00021999" w:rsidRPr="00946E02">
        <w:t>do</w:t>
      </w:r>
      <w:r w:rsidR="00A54EEF" w:rsidRPr="00946E02">
        <w:t xml:space="preserve"> cidadão</w:t>
      </w:r>
      <w:r w:rsidR="00BA15B8" w:rsidRPr="00946E02">
        <w:t xml:space="preserve"> de alcançar as informações mantidas </w:t>
      </w:r>
      <w:r w:rsidR="00DB497B" w:rsidRPr="00946E02">
        <w:t>por autoridades públicas</w:t>
      </w:r>
      <w:r w:rsidR="004F6955" w:rsidRPr="00946E02">
        <w:t xml:space="preserve">, já que o Estado </w:t>
      </w:r>
      <w:r w:rsidR="004640CF" w:rsidRPr="00946E02">
        <w:t xml:space="preserve">trabalha como </w:t>
      </w:r>
      <w:r w:rsidR="00D95435" w:rsidRPr="00946E02">
        <w:t>representa</w:t>
      </w:r>
      <w:r w:rsidR="004640CF" w:rsidRPr="00946E02">
        <w:t>nte</w:t>
      </w:r>
      <w:r w:rsidR="00964B29" w:rsidRPr="00946E02">
        <w:t xml:space="preserve"> d</w:t>
      </w:r>
      <w:r w:rsidR="006A3ECD" w:rsidRPr="00946E02">
        <w:t>aquele</w:t>
      </w:r>
      <w:r w:rsidR="00D95435" w:rsidRPr="00946E02">
        <w:t>.</w:t>
      </w:r>
      <w:r w:rsidR="00BA15B8" w:rsidRPr="00946E02">
        <w:t xml:space="preserve"> </w:t>
      </w:r>
      <w:r w:rsidRPr="00946E02">
        <w:t>Nesse ínterim, a transparência fiscal no Brasil concentrava-se em revelar aquilo que não era publicado</w:t>
      </w:r>
      <w:r w:rsidR="00683B0A" w:rsidRPr="00946E02">
        <w:t xml:space="preserve"> pelo gestor público</w:t>
      </w:r>
      <w:r w:rsidRPr="00946E02">
        <w:t>, sem atentar para o receptor da mensagem. O foco era retirar a exclusividade de uso do dado de quem o detinha.</w:t>
      </w:r>
      <w:bookmarkEnd w:id="11"/>
      <w:r w:rsidR="00F053F2" w:rsidRPr="00946E02">
        <w:t xml:space="preserve"> </w:t>
      </w:r>
      <w:r w:rsidRPr="00946E02">
        <w:t xml:space="preserve"> </w:t>
      </w:r>
    </w:p>
    <w:p w14:paraId="6EE55BE7" w14:textId="54A8308E" w:rsidR="00322F8A" w:rsidRPr="00946E02" w:rsidRDefault="00322F8A" w:rsidP="00D70A22">
      <w:bookmarkStart w:id="12" w:name="_Toc13455196"/>
      <w:r w:rsidRPr="00946E02">
        <w:t xml:space="preserve">Por isso, </w:t>
      </w:r>
      <w:r w:rsidR="006B49C1" w:rsidRPr="00946E02">
        <w:t xml:space="preserve">ainda hoje, </w:t>
      </w:r>
      <w:r w:rsidR="00912AC3" w:rsidRPr="00946E02">
        <w:t>os termos</w:t>
      </w:r>
      <w:r w:rsidR="009F5828" w:rsidRPr="00946E02">
        <w:t xml:space="preserve"> “transparência”, “abertura” e “publicidade” </w:t>
      </w:r>
      <w:r w:rsidRPr="00946E02">
        <w:t>guarda</w:t>
      </w:r>
      <w:r w:rsidR="008531E1" w:rsidRPr="00946E02">
        <w:t>m</w:t>
      </w:r>
      <w:r w:rsidRPr="00946E02">
        <w:t xml:space="preserve"> </w:t>
      </w:r>
      <w:r w:rsidR="008531E1" w:rsidRPr="00946E02">
        <w:t>uma</w:t>
      </w:r>
      <w:r w:rsidRPr="00946E02">
        <w:t xml:space="preserve"> proximidade conceit</w:t>
      </w:r>
      <w:r w:rsidR="008531E1" w:rsidRPr="00946E02">
        <w:t>ual</w:t>
      </w:r>
      <w:r w:rsidR="0078013C" w:rsidRPr="00946E02">
        <w:t>, em se tratando d</w:t>
      </w:r>
      <w:r w:rsidR="00C836D6" w:rsidRPr="00946E02">
        <w:t>a</w:t>
      </w:r>
      <w:r w:rsidR="0078013C" w:rsidRPr="00946E02">
        <w:t xml:space="preserve"> </w:t>
      </w:r>
      <w:r w:rsidR="006533EE" w:rsidRPr="00946E02">
        <w:t>acessibilidade de informação e d</w:t>
      </w:r>
      <w:r w:rsidR="00C836D6" w:rsidRPr="00946E02">
        <w:t>os</w:t>
      </w:r>
      <w:r w:rsidR="007004EE" w:rsidRPr="00946E02">
        <w:t xml:space="preserve"> aspectos legislativos que conferem ao cidadão </w:t>
      </w:r>
      <w:r w:rsidR="00AB1A42" w:rsidRPr="00946E02">
        <w:t>a prerrogativa de ter ciência acerca dos “</w:t>
      </w:r>
      <w:r w:rsidR="00A44264" w:rsidRPr="00946E02">
        <w:t>procedimentos, medidas e decisões em processo e sobre a documentação de procedimentos, medidas e decisões já tomadas”</w:t>
      </w:r>
      <w:r w:rsidR="00342515" w:rsidRPr="00946E02">
        <w:t>(A</w:t>
      </w:r>
      <w:r w:rsidR="00BA1958">
        <w:t>morim</w:t>
      </w:r>
      <w:r w:rsidR="00342515" w:rsidRPr="00946E02">
        <w:t>; G</w:t>
      </w:r>
      <w:r w:rsidR="00BA1958">
        <w:t>omes</w:t>
      </w:r>
      <w:r w:rsidR="00342515" w:rsidRPr="00946E02">
        <w:t>, 2013, p.5)</w:t>
      </w:r>
      <w:r w:rsidRPr="00946E02">
        <w:t>.</w:t>
      </w:r>
      <w:bookmarkEnd w:id="12"/>
    </w:p>
    <w:p w14:paraId="2AB97BDB" w14:textId="42CB1C86" w:rsidR="00D25757" w:rsidRPr="00946E02" w:rsidRDefault="00B216A1" w:rsidP="00D70A22">
      <w:bookmarkStart w:id="13" w:name="_Toc13455197"/>
      <w:r w:rsidRPr="00946E02">
        <w:t xml:space="preserve">Em </w:t>
      </w:r>
      <w:r w:rsidR="00FE12C2" w:rsidRPr="00946E02">
        <w:t>Silva (2009), a</w:t>
      </w:r>
      <w:r w:rsidR="002C187A" w:rsidRPr="00946E02">
        <w:t>bertura</w:t>
      </w:r>
      <w:r w:rsidR="00624D5A" w:rsidRPr="00946E02">
        <w:t xml:space="preserve"> está atrelada </w:t>
      </w:r>
      <w:r w:rsidR="003E460E">
        <w:t>à</w:t>
      </w:r>
      <w:r w:rsidR="00624D5A" w:rsidRPr="00946E02">
        <w:t xml:space="preserve"> </w:t>
      </w:r>
      <w:r w:rsidR="00FB392B" w:rsidRPr="00946E02">
        <w:t>“exposição de conteúdos discursivos integrais em estado bruto (principalmente dados técnicos, números ou documentos em linguagem para especialistas)”</w:t>
      </w:r>
      <w:r w:rsidR="004613EE" w:rsidRPr="00946E02">
        <w:t xml:space="preserve">, ou seja, </w:t>
      </w:r>
      <w:r w:rsidR="00E5040E" w:rsidRPr="00946E02">
        <w:t>instrumentos</w:t>
      </w:r>
      <w:r w:rsidR="00F727DB" w:rsidRPr="00946E02">
        <w:t>,</w:t>
      </w:r>
      <w:r w:rsidR="00E5040E" w:rsidRPr="00946E02">
        <w:t xml:space="preserve"> </w:t>
      </w:r>
      <w:r w:rsidR="002E385A" w:rsidRPr="00946E02">
        <w:t>ainda sem nenhum tratamento</w:t>
      </w:r>
      <w:r w:rsidR="00F727DB" w:rsidRPr="00946E02">
        <w:t>,</w:t>
      </w:r>
      <w:r w:rsidR="002E385A" w:rsidRPr="00946E02">
        <w:t xml:space="preserve"> </w:t>
      </w:r>
      <w:r w:rsidR="00F727DB" w:rsidRPr="00946E02">
        <w:t xml:space="preserve">que </w:t>
      </w:r>
      <w:r w:rsidR="00E126ED" w:rsidRPr="00946E02">
        <w:t>exp</w:t>
      </w:r>
      <w:r w:rsidR="00F727DB" w:rsidRPr="00946E02">
        <w:t>õem</w:t>
      </w:r>
      <w:r w:rsidR="00E126ED" w:rsidRPr="00946E02">
        <w:t xml:space="preserve"> </w:t>
      </w:r>
      <w:r w:rsidR="00F727DB" w:rsidRPr="00946E02">
        <w:t>o</w:t>
      </w:r>
      <w:r w:rsidR="00E126ED" w:rsidRPr="00946E02">
        <w:t xml:space="preserve"> Estado </w:t>
      </w:r>
      <w:r w:rsidR="00F727DB" w:rsidRPr="00946E02">
        <w:t>à sociedade</w:t>
      </w:r>
      <w:r w:rsidR="00E74EBE" w:rsidRPr="00946E02">
        <w:t xml:space="preserve"> </w:t>
      </w:r>
      <w:r w:rsidR="003746D6" w:rsidRPr="00946E02">
        <w:t>(</w:t>
      </w:r>
      <w:r w:rsidR="008D537C">
        <w:t>S</w:t>
      </w:r>
      <w:r w:rsidR="00BA1958">
        <w:t>ilva</w:t>
      </w:r>
      <w:r w:rsidR="00DB3315" w:rsidRPr="00946E02">
        <w:t>, 2009, p.120)</w:t>
      </w:r>
      <w:r w:rsidR="00EA7B50" w:rsidRPr="00946E02">
        <w:t>.</w:t>
      </w:r>
      <w:r w:rsidR="00DB3315" w:rsidRPr="00946E02">
        <w:t xml:space="preserve"> </w:t>
      </w:r>
      <w:r w:rsidR="00CC3262" w:rsidRPr="00946E02">
        <w:t xml:space="preserve">Em relação </w:t>
      </w:r>
      <w:r w:rsidR="009F32EA" w:rsidRPr="00946E02">
        <w:t xml:space="preserve">a esse nível </w:t>
      </w:r>
      <w:r w:rsidR="00C10C0D" w:rsidRPr="00946E02">
        <w:t xml:space="preserve">de </w:t>
      </w:r>
      <w:r w:rsidR="00C965E0" w:rsidRPr="00946E02">
        <w:t>apresentação</w:t>
      </w:r>
      <w:r w:rsidR="00BF3394" w:rsidRPr="00946E02">
        <w:t xml:space="preserve">, </w:t>
      </w:r>
      <w:r w:rsidR="00685943" w:rsidRPr="00946E02">
        <w:t>Hood (2006)</w:t>
      </w:r>
      <w:r w:rsidR="00AF45CD" w:rsidRPr="00946E02">
        <w:t xml:space="preserve"> aborda</w:t>
      </w:r>
      <w:r w:rsidR="00FE7CDA" w:rsidRPr="00946E02">
        <w:t>, como um d</w:t>
      </w:r>
      <w:r w:rsidR="00CC3262" w:rsidRPr="00946E02">
        <w:t xml:space="preserve">os significados </w:t>
      </w:r>
      <w:r w:rsidR="00FE7CDA" w:rsidRPr="00946E02">
        <w:t>de transparência,</w:t>
      </w:r>
      <w:r w:rsidR="008C7CA7" w:rsidRPr="00946E02">
        <w:t xml:space="preserve"> </w:t>
      </w:r>
      <w:r w:rsidR="00857EB3" w:rsidRPr="00946E02">
        <w:t xml:space="preserve">a disponibilização de </w:t>
      </w:r>
      <w:r w:rsidR="008C7CA7" w:rsidRPr="00946E02">
        <w:t xml:space="preserve">informações </w:t>
      </w:r>
      <w:r w:rsidR="003527B9" w:rsidRPr="00946E02">
        <w:t>a</w:t>
      </w:r>
      <w:r w:rsidR="008C7CA7" w:rsidRPr="00946E02">
        <w:t>o público</w:t>
      </w:r>
      <w:r w:rsidR="00B521A7" w:rsidRPr="00946E02">
        <w:t xml:space="preserve"> sem a </w:t>
      </w:r>
      <w:r w:rsidR="00861626" w:rsidRPr="00946E02">
        <w:t>preocupação</w:t>
      </w:r>
      <w:r w:rsidR="00B521A7" w:rsidRPr="00946E02">
        <w:t xml:space="preserve"> </w:t>
      </w:r>
      <w:r w:rsidR="00861626" w:rsidRPr="00946E02">
        <w:t xml:space="preserve">com </w:t>
      </w:r>
      <w:r w:rsidR="00796B4A" w:rsidRPr="00946E02">
        <w:t xml:space="preserve">os </w:t>
      </w:r>
      <w:r w:rsidR="00861626" w:rsidRPr="00946E02">
        <w:t xml:space="preserve">meios </w:t>
      </w:r>
      <w:r w:rsidR="00385565" w:rsidRPr="00946E02">
        <w:t>que p</w:t>
      </w:r>
      <w:r w:rsidR="00A4000E" w:rsidRPr="00946E02">
        <w:t>ossam</w:t>
      </w:r>
      <w:r w:rsidR="00385565" w:rsidRPr="00946E02">
        <w:t xml:space="preserve"> torn</w:t>
      </w:r>
      <w:r w:rsidR="00BE453D">
        <w:t>á</w:t>
      </w:r>
      <w:r w:rsidR="00385565" w:rsidRPr="00946E02">
        <w:t>-las compreensíveis</w:t>
      </w:r>
      <w:r w:rsidR="005C3376" w:rsidRPr="00946E02">
        <w:t xml:space="preserve"> a um indivíduo não especialista no assunto tratado.</w:t>
      </w:r>
      <w:bookmarkEnd w:id="13"/>
      <w:r w:rsidR="00C9459E" w:rsidRPr="00946E02">
        <w:t xml:space="preserve"> </w:t>
      </w:r>
      <w:r w:rsidR="00385565" w:rsidRPr="00946E02">
        <w:t xml:space="preserve"> </w:t>
      </w:r>
      <w:r w:rsidR="00B521A7" w:rsidRPr="00946E02">
        <w:t xml:space="preserve"> </w:t>
      </w:r>
      <w:r w:rsidR="0038303C" w:rsidRPr="00946E02">
        <w:t xml:space="preserve"> </w:t>
      </w:r>
      <w:r w:rsidR="008C7CA7" w:rsidRPr="00946E02">
        <w:tab/>
      </w:r>
      <w:r w:rsidR="00F65E7A" w:rsidRPr="00946E02">
        <w:t xml:space="preserve"> </w:t>
      </w:r>
      <w:r w:rsidR="00B62AB2" w:rsidRPr="00946E02">
        <w:t xml:space="preserve"> </w:t>
      </w:r>
      <w:r w:rsidR="00F8553A" w:rsidRPr="00946E02">
        <w:t xml:space="preserve"> </w:t>
      </w:r>
      <w:r w:rsidR="001266FA" w:rsidRPr="00946E02">
        <w:t xml:space="preserve"> </w:t>
      </w:r>
    </w:p>
    <w:p w14:paraId="70038E3F" w14:textId="0D2D8512" w:rsidR="00322F8A" w:rsidRPr="00946E02" w:rsidRDefault="00662B73" w:rsidP="00D70A22">
      <w:bookmarkStart w:id="14" w:name="_Toc13455198"/>
      <w:r w:rsidRPr="00946E02">
        <w:t xml:space="preserve">A formulação de uma teoria da comunicação precisou percorreu, no princípio, </w:t>
      </w:r>
      <w:r w:rsidR="00322F8A" w:rsidRPr="00946E02">
        <w:t>segmentação semelhante ao conceito de transparência</w:t>
      </w:r>
      <w:r w:rsidR="009507EA" w:rsidRPr="00946E02">
        <w:t xml:space="preserve">, para </w:t>
      </w:r>
      <w:r w:rsidR="004067DD" w:rsidRPr="00946E02">
        <w:t>estabelecer</w:t>
      </w:r>
      <w:r w:rsidR="00177938" w:rsidRPr="00946E02">
        <w:t xml:space="preserve"> critérios</w:t>
      </w:r>
      <w:r w:rsidR="00295C9C" w:rsidRPr="00946E02">
        <w:t xml:space="preserve"> </w:t>
      </w:r>
      <w:r w:rsidR="004067DD" w:rsidRPr="00946E02">
        <w:t xml:space="preserve">básicos e </w:t>
      </w:r>
      <w:r w:rsidR="00DF6ADA" w:rsidRPr="00946E02">
        <w:t>sua posterior evolução como c</w:t>
      </w:r>
      <w:r w:rsidR="002C4FF1" w:rsidRPr="00946E02">
        <w:t>ampo de estudo</w:t>
      </w:r>
      <w:r w:rsidR="004067DD" w:rsidRPr="00946E02">
        <w:t>.</w:t>
      </w:r>
      <w:r w:rsidR="00322F8A" w:rsidRPr="00946E02">
        <w:t xml:space="preserve"> </w:t>
      </w:r>
      <w:proofErr w:type="spellStart"/>
      <w:r w:rsidR="005875FD" w:rsidRPr="00946E02">
        <w:t>Gleick</w:t>
      </w:r>
      <w:proofErr w:type="spellEnd"/>
      <w:r w:rsidR="008C59AE" w:rsidRPr="00946E02">
        <w:t xml:space="preserve"> (2013)</w:t>
      </w:r>
      <w:r w:rsidR="00E82F09" w:rsidRPr="00946E02">
        <w:t xml:space="preserve"> retrata que</w:t>
      </w:r>
      <w:r w:rsidR="008C59AE" w:rsidRPr="00946E02">
        <w:t xml:space="preserve"> </w:t>
      </w:r>
      <w:r w:rsidR="00322F8A" w:rsidRPr="00946E02">
        <w:t>Claude Shannon, um dos precursores da teoria da comunicação, precisou se abstrair do significado de uma mensagem, da informação transmitida, para criar a teoria matemática da comunicação</w:t>
      </w:r>
      <w:r w:rsidR="006E4FA0" w:rsidRPr="00946E02">
        <w:t xml:space="preserve"> </w:t>
      </w:r>
      <w:r w:rsidR="00A44672" w:rsidRPr="00946E02">
        <w:t xml:space="preserve">– </w:t>
      </w:r>
      <w:r w:rsidR="006E4FA0" w:rsidRPr="00946E02">
        <w:t>TMC</w:t>
      </w:r>
      <w:r w:rsidR="00A44672" w:rsidRPr="00946E02">
        <w:t>.</w:t>
      </w:r>
      <w:bookmarkEnd w:id="14"/>
      <w:r w:rsidR="00A44672" w:rsidRPr="00946E02">
        <w:t xml:space="preserve"> </w:t>
      </w:r>
    </w:p>
    <w:p w14:paraId="62099533" w14:textId="5EC3F228" w:rsidR="00A309AA" w:rsidRPr="00946E02" w:rsidRDefault="00A309AA" w:rsidP="00D70A22">
      <w:bookmarkStart w:id="15" w:name="_Toc13455199"/>
      <w:r w:rsidRPr="00946E02">
        <w:t xml:space="preserve">A formulação da teoria, segundo Cardoso (2006), acontece em um momento em que os processos de comunicação foram percebidos em um patamar mais estratégico pela sociedade, já que o entendimento da informação se tornara essencial no campo da produção, onde havia um estudo </w:t>
      </w:r>
      <w:r w:rsidR="00723AEE" w:rsidRPr="00946E02">
        <w:t>difuso</w:t>
      </w:r>
      <w:r w:rsidRPr="00946E02">
        <w:t xml:space="preserve"> sobre a temática. A comunicação, então, </w:t>
      </w:r>
      <w:r w:rsidR="005B0B58" w:rsidRPr="00946E02">
        <w:t>aspirava por</w:t>
      </w:r>
      <w:r w:rsidRPr="00946E02">
        <w:t xml:space="preserve"> uma teoria que ordena</w:t>
      </w:r>
      <w:r w:rsidR="005B0B58" w:rsidRPr="00946E02">
        <w:t>sse</w:t>
      </w:r>
      <w:r w:rsidRPr="00946E02">
        <w:t xml:space="preserve"> o campo de pesquisa, delimita</w:t>
      </w:r>
      <w:r w:rsidR="005B0B58" w:rsidRPr="00946E02">
        <w:t>sse</w:t>
      </w:r>
      <w:r w:rsidRPr="00946E02">
        <w:t xml:space="preserve"> os objetos, </w:t>
      </w:r>
      <w:r w:rsidR="00E55899" w:rsidRPr="00946E02">
        <w:t>trouxesse</w:t>
      </w:r>
      <w:r w:rsidRPr="00946E02">
        <w:t xml:space="preserve"> conceitos operacionais e mostra</w:t>
      </w:r>
      <w:r w:rsidR="00E55899" w:rsidRPr="00946E02">
        <w:t>sse</w:t>
      </w:r>
      <w:r w:rsidRPr="00946E02">
        <w:t xml:space="preserve"> modelos científicos embasados pela </w:t>
      </w:r>
      <w:r w:rsidR="00E55899" w:rsidRPr="00946E02">
        <w:t>objetividade</w:t>
      </w:r>
      <w:r w:rsidRPr="00946E02">
        <w:t xml:space="preserve"> da matemática.</w:t>
      </w:r>
      <w:bookmarkEnd w:id="15"/>
    </w:p>
    <w:p w14:paraId="5375054A" w14:textId="1A9286FB" w:rsidR="00322F8A" w:rsidRPr="00946E02" w:rsidRDefault="00322F8A" w:rsidP="00D70A22">
      <w:bookmarkStart w:id="16" w:name="_Toc13455200"/>
      <w:r w:rsidRPr="00946E02">
        <w:t xml:space="preserve">Dessa forma, Shannon (1948) </w:t>
      </w:r>
      <w:r w:rsidR="00B7254A" w:rsidRPr="00946E02">
        <w:t>propõe</w:t>
      </w:r>
      <w:r w:rsidRPr="00946E02">
        <w:t xml:space="preserve"> um modelo </w:t>
      </w:r>
      <w:r w:rsidR="00AC6188" w:rsidRPr="00946E02">
        <w:t xml:space="preserve">físico </w:t>
      </w:r>
      <w:r w:rsidRPr="00946E02">
        <w:t>de comunicação que inclui seis elementos: uma fonte</w:t>
      </w:r>
      <w:r w:rsidR="00815573" w:rsidRPr="00946E02">
        <w:t xml:space="preserve"> de informação</w:t>
      </w:r>
      <w:r w:rsidRPr="00946E02">
        <w:t>, um codificador, uma mensagem, um canal, um decodificador e um receptor. A essência do estudo se concentra n</w:t>
      </w:r>
      <w:r w:rsidR="00D60B7E" w:rsidRPr="00946E02">
        <w:t>os problemas de</w:t>
      </w:r>
      <w:r w:rsidRPr="00946E02">
        <w:t xml:space="preserve"> transmissão </w:t>
      </w:r>
      <w:r w:rsidRPr="00946E02">
        <w:lastRenderedPageBreak/>
        <w:t>d</w:t>
      </w:r>
      <w:r w:rsidR="004D5E21" w:rsidRPr="00946E02">
        <w:t>o</w:t>
      </w:r>
      <w:r w:rsidRPr="00946E02">
        <w:t xml:space="preserve"> sinal (ou mensagem) de um ponto a outro, </w:t>
      </w:r>
      <w:r w:rsidR="0023465F" w:rsidRPr="00946E02">
        <w:t>tais como</w:t>
      </w:r>
      <w:r w:rsidR="00E46011" w:rsidRPr="00946E02">
        <w:t xml:space="preserve"> </w:t>
      </w:r>
      <w:r w:rsidR="003F3C2C" w:rsidRPr="00946E02">
        <w:t xml:space="preserve">ruído ao longo do canal, </w:t>
      </w:r>
      <w:r w:rsidR="00E46011" w:rsidRPr="00946E02">
        <w:t>capacidade</w:t>
      </w:r>
      <w:r w:rsidR="00A07EC3" w:rsidRPr="00946E02">
        <w:t xml:space="preserve"> e outras</w:t>
      </w:r>
      <w:r w:rsidR="00D97A9B" w:rsidRPr="00946E02">
        <w:t xml:space="preserve"> </w:t>
      </w:r>
      <w:r w:rsidR="00441A70" w:rsidRPr="00946E02">
        <w:t xml:space="preserve">propriedades estatísticas da linguagem. </w:t>
      </w:r>
      <w:r w:rsidR="00AD7EAE" w:rsidRPr="00946E02">
        <w:t>Essas questões são</w:t>
      </w:r>
      <w:r w:rsidR="002A07EB" w:rsidRPr="00946E02">
        <w:t xml:space="preserve"> eminentemente sintática</w:t>
      </w:r>
      <w:r w:rsidR="00AD7EAE" w:rsidRPr="00946E02">
        <w:t xml:space="preserve">s, </w:t>
      </w:r>
      <w:r w:rsidR="00DA5DE0" w:rsidRPr="00946E02">
        <w:t>sem</w:t>
      </w:r>
      <w:r w:rsidRPr="00946E02">
        <w:t xml:space="preserve"> </w:t>
      </w:r>
      <w:r w:rsidR="00584D94" w:rsidRPr="00946E02">
        <w:t>interess</w:t>
      </w:r>
      <w:r w:rsidR="00DA5DE0" w:rsidRPr="00946E02">
        <w:t>e</w:t>
      </w:r>
      <w:r w:rsidRPr="00946E02">
        <w:t xml:space="preserve"> </w:t>
      </w:r>
      <w:r w:rsidR="008A3E3C" w:rsidRPr="00946E02">
        <w:t>pela</w:t>
      </w:r>
      <w:r w:rsidR="00EA242A" w:rsidRPr="00946E02">
        <w:t xml:space="preserve"> </w:t>
      </w:r>
      <w:r w:rsidR="00F3754A" w:rsidRPr="00946E02">
        <w:t>semântica</w:t>
      </w:r>
      <w:r w:rsidR="00EA242A" w:rsidRPr="00946E02">
        <w:t xml:space="preserve"> d</w:t>
      </w:r>
      <w:r w:rsidRPr="00946E02">
        <w:t>a mensagem.</w:t>
      </w:r>
      <w:bookmarkEnd w:id="16"/>
      <w:r w:rsidRPr="00946E02">
        <w:t xml:space="preserve"> </w:t>
      </w:r>
    </w:p>
    <w:p w14:paraId="4B58D235" w14:textId="77777777" w:rsidR="00322F8A" w:rsidRPr="00946E02" w:rsidRDefault="00322F8A" w:rsidP="00D70A22">
      <w:bookmarkStart w:id="17" w:name="_Toc13455201"/>
      <w:r w:rsidRPr="00946E02">
        <w:t>Warren Weaver, ao tratar da engenharia de transmissão de sinais, esclarece a eliminação do significado no conceito de informação:</w:t>
      </w:r>
      <w:bookmarkEnd w:id="17"/>
    </w:p>
    <w:p w14:paraId="33F4E410" w14:textId="289A9266" w:rsidR="00493AD0" w:rsidRDefault="00322F8A" w:rsidP="00075BD5">
      <w:pPr>
        <w:pStyle w:val="SemEspaamento"/>
      </w:pPr>
      <w:bookmarkStart w:id="18" w:name="_Toc13455202"/>
      <w:r w:rsidRPr="00075BD5">
        <w:t xml:space="preserve">A palavra informação, nesta teoria, é usada em um sentido especial que não deve ser confundido com seu uso comum. Em particular, informação não deve ser confundida com significado. Na verdade, suas mensagens, uma das quais é intensamente carregada de significado e outra que é pura falta de sentido, podem ser exatamente equivalentes, segundo o ponto de vista dessa teoria, com relação à informação. É isto, sem dúvida, que Shannon quer dizer quando </w:t>
      </w:r>
      <w:proofErr w:type="spellStart"/>
      <w:r w:rsidRPr="00075BD5">
        <w:t>afirma</w:t>
      </w:r>
      <w:proofErr w:type="spellEnd"/>
      <w:r w:rsidRPr="00075BD5">
        <w:t xml:space="preserve"> `os aspectos semânticos da comunicação são irrelevantes para os aspectos da engenharia´. (S</w:t>
      </w:r>
      <w:r w:rsidR="00BA1958">
        <w:t>hannon</w:t>
      </w:r>
      <w:r w:rsidRPr="00075BD5">
        <w:t xml:space="preserve"> e W</w:t>
      </w:r>
      <w:r w:rsidR="00BA1958">
        <w:t>eaver</w:t>
      </w:r>
      <w:r w:rsidRPr="00075BD5">
        <w:t>, 19</w:t>
      </w:r>
      <w:r w:rsidR="00CA1D2D">
        <w:t>63</w:t>
      </w:r>
      <w:r w:rsidRPr="00075BD5">
        <w:t>, p. 8</w:t>
      </w:r>
      <w:r w:rsidR="00B10DCE">
        <w:t>, tradução nossa</w:t>
      </w:r>
      <w:r w:rsidRPr="00075BD5">
        <w:t>)</w:t>
      </w:r>
      <w:bookmarkEnd w:id="18"/>
      <w:r w:rsidRPr="00075BD5">
        <w:t xml:space="preserve"> </w:t>
      </w:r>
    </w:p>
    <w:p w14:paraId="2375E37A" w14:textId="77777777" w:rsidR="00482491" w:rsidRPr="00075BD5" w:rsidRDefault="00482491" w:rsidP="00075BD5">
      <w:pPr>
        <w:pStyle w:val="SemEspaamento"/>
      </w:pPr>
    </w:p>
    <w:p w14:paraId="4EE6A0DB" w14:textId="542A879B" w:rsidR="007966F7" w:rsidRPr="003C2CC1" w:rsidRDefault="00B30935" w:rsidP="00D70A22">
      <w:bookmarkStart w:id="19" w:name="_Toc13455203"/>
      <w:r w:rsidRPr="003C2CC1">
        <w:t xml:space="preserve">De forma </w:t>
      </w:r>
      <w:r w:rsidR="00BA5A64" w:rsidRPr="003C2CC1">
        <w:t>mecanicis</w:t>
      </w:r>
      <w:r w:rsidR="00461CE9" w:rsidRPr="003C2CC1">
        <w:t>ta</w:t>
      </w:r>
      <w:r w:rsidRPr="003C2CC1">
        <w:t>, a</w:t>
      </w:r>
      <w:r w:rsidR="008353CD" w:rsidRPr="003C2CC1">
        <w:t xml:space="preserve"> TMC</w:t>
      </w:r>
      <w:r w:rsidR="00322F8A" w:rsidRPr="003C2CC1">
        <w:t xml:space="preserve"> defin</w:t>
      </w:r>
      <w:r w:rsidR="00FD47AE" w:rsidRPr="003C2CC1">
        <w:t>e</w:t>
      </w:r>
      <w:r w:rsidR="00322F8A" w:rsidRPr="003C2CC1">
        <w:t xml:space="preserve"> informação de forma quantitativa, referindo-se a seleções possíveis em um conjunto de símbolos físicos. </w:t>
      </w:r>
      <w:r w:rsidR="00A73097" w:rsidRPr="003C2CC1">
        <w:t>Com isso</w:t>
      </w:r>
      <w:r w:rsidR="00D57B13" w:rsidRPr="003C2CC1">
        <w:t xml:space="preserve">, </w:t>
      </w:r>
      <w:r w:rsidR="00412F69" w:rsidRPr="003C2CC1">
        <w:t>d</w:t>
      </w:r>
      <w:r w:rsidR="00FD47AE" w:rsidRPr="003C2CC1">
        <w:t>á</w:t>
      </w:r>
      <w:r w:rsidR="00412F69" w:rsidRPr="003C2CC1">
        <w:t xml:space="preserve"> às informações inverídicas o mesmo valor atribuído às verídicas, pelo menos em termos de quantidade de informação. </w:t>
      </w:r>
      <w:r w:rsidR="00D57B13" w:rsidRPr="003C2CC1">
        <w:t>Ademais, o</w:t>
      </w:r>
      <w:r w:rsidR="005E0C5D" w:rsidRPr="003C2CC1">
        <w:t xml:space="preserve"> fato de lidar </w:t>
      </w:r>
      <w:r w:rsidR="00EF69D8" w:rsidRPr="003C2CC1">
        <w:t xml:space="preserve">com o caráter estatístico </w:t>
      </w:r>
      <w:r w:rsidR="00A36055" w:rsidRPr="003C2CC1">
        <w:t>de um agrupamento de mensagens</w:t>
      </w:r>
      <w:r w:rsidR="008B3A2D" w:rsidRPr="003C2CC1">
        <w:t>, f</w:t>
      </w:r>
      <w:r w:rsidR="00FD47AE" w:rsidRPr="003C2CC1">
        <w:t>a</w:t>
      </w:r>
      <w:r w:rsidR="008B3A2D" w:rsidRPr="003C2CC1">
        <w:t xml:space="preserve">z com que </w:t>
      </w:r>
      <w:r w:rsidR="00322F8A" w:rsidRPr="003C2CC1">
        <w:t xml:space="preserve">Shannon </w:t>
      </w:r>
      <w:r w:rsidR="00780126" w:rsidRPr="003C2CC1">
        <w:t>e Weaver (19</w:t>
      </w:r>
      <w:r w:rsidR="00CA1D2D">
        <w:t>63</w:t>
      </w:r>
      <w:r w:rsidR="00780126" w:rsidRPr="003C2CC1">
        <w:t xml:space="preserve">) </w:t>
      </w:r>
      <w:r w:rsidR="00322F8A" w:rsidRPr="003C2CC1">
        <w:t>associ</w:t>
      </w:r>
      <w:r w:rsidR="008B3A2D" w:rsidRPr="003C2CC1">
        <w:t>e</w:t>
      </w:r>
      <w:r w:rsidR="00780126" w:rsidRPr="003C2CC1">
        <w:t>m</w:t>
      </w:r>
      <w:r w:rsidR="00322F8A" w:rsidRPr="003C2CC1">
        <w:t xml:space="preserve"> informação – ou seja, a quantidade de escolhas possíveis para se criar uma mensagem – e incerteza. Quanto maior a liberdade de escolha, maior a incerteza, isto é, a informação</w:t>
      </w:r>
      <w:r w:rsidR="007966F7" w:rsidRPr="003C2CC1">
        <w:t>.</w:t>
      </w:r>
      <w:r w:rsidR="00C21B34" w:rsidRPr="003C2CC1">
        <w:t xml:space="preserve"> </w:t>
      </w:r>
      <w:r w:rsidR="00B83BA8" w:rsidRPr="003C2CC1">
        <w:t xml:space="preserve">Caso não haja incerteza, ou seja, se somente uma mensagem for possível, </w:t>
      </w:r>
      <w:r w:rsidR="008A0861" w:rsidRPr="003C2CC1">
        <w:t xml:space="preserve">não existirá informação. </w:t>
      </w:r>
      <w:r w:rsidR="00CB1E53" w:rsidRPr="003C2CC1">
        <w:t>Pelo disposto</w:t>
      </w:r>
      <w:r w:rsidR="000F1B80" w:rsidRPr="003C2CC1">
        <w:t>,</w:t>
      </w:r>
      <w:r w:rsidR="008340F7" w:rsidRPr="003C2CC1">
        <w:t xml:space="preserve"> </w:t>
      </w:r>
      <w:r w:rsidR="000F1B80" w:rsidRPr="003C2CC1">
        <w:t xml:space="preserve">a teoria </w:t>
      </w:r>
      <w:r w:rsidR="00A770A2" w:rsidRPr="003C2CC1">
        <w:t xml:space="preserve">trata </w:t>
      </w:r>
      <w:r w:rsidR="00F1325E" w:rsidRPr="003C2CC1">
        <w:t>somente do caráter linear da informação</w:t>
      </w:r>
      <w:r w:rsidR="00992C6D" w:rsidRPr="003C2CC1">
        <w:t>.</w:t>
      </w:r>
      <w:bookmarkEnd w:id="19"/>
    </w:p>
    <w:p w14:paraId="56C282FB" w14:textId="7C57AB5F" w:rsidR="002C7408" w:rsidRPr="003C2CC1" w:rsidRDefault="00524B7E" w:rsidP="00D70A22">
      <w:pPr>
        <w:rPr>
          <w:i/>
        </w:rPr>
      </w:pPr>
      <w:bookmarkStart w:id="20" w:name="_Toc13455204"/>
      <w:r w:rsidRPr="003C2CC1">
        <w:t>Por essas características</w:t>
      </w:r>
      <w:r w:rsidR="002C7408" w:rsidRPr="003C2CC1">
        <w:t xml:space="preserve">, </w:t>
      </w:r>
      <w:proofErr w:type="spellStart"/>
      <w:r w:rsidR="002C7408" w:rsidRPr="003C2CC1">
        <w:t>Machlup</w:t>
      </w:r>
      <w:proofErr w:type="spellEnd"/>
      <w:r w:rsidR="007C74CB" w:rsidRPr="003C2CC1">
        <w:t xml:space="preserve"> (1983)</w:t>
      </w:r>
      <w:r w:rsidR="002C7408" w:rsidRPr="003C2CC1">
        <w:t xml:space="preserve"> </w:t>
      </w:r>
      <w:r w:rsidRPr="003C2CC1">
        <w:t xml:space="preserve">não concorda </w:t>
      </w:r>
      <w:r w:rsidR="00644D73" w:rsidRPr="003C2CC1">
        <w:t xml:space="preserve">com o uso da palavra informação no contexto da transmissão de sinais, </w:t>
      </w:r>
      <w:r w:rsidR="009D5F4C" w:rsidRPr="003C2CC1">
        <w:t xml:space="preserve">pois as mensagens falsas ou incorretas, </w:t>
      </w:r>
      <w:r w:rsidR="00604F54" w:rsidRPr="003C2CC1">
        <w:t xml:space="preserve">pelo requisito da verdade, </w:t>
      </w:r>
      <w:r w:rsidR="008B187B" w:rsidRPr="003C2CC1">
        <w:t>deveriam ser excluídas</w:t>
      </w:r>
      <w:r w:rsidR="00357EB7" w:rsidRPr="003C2CC1">
        <w:t xml:space="preserve"> do estudo quantitativo, assim como as mensagens que deixam inalterad</w:t>
      </w:r>
      <w:r w:rsidR="00324652" w:rsidRPr="003C2CC1">
        <w:t>o o estado de incerteza do receptor</w:t>
      </w:r>
      <w:r w:rsidR="00F507CC" w:rsidRPr="003C2CC1">
        <w:t>, dentre outras</w:t>
      </w:r>
      <w:r w:rsidR="003E4916" w:rsidRPr="003C2CC1">
        <w:t xml:space="preserve"> inúteis ou redundantes</w:t>
      </w:r>
      <w:r w:rsidR="00F507CC" w:rsidRPr="003C2CC1">
        <w:t>.</w:t>
      </w:r>
      <w:bookmarkEnd w:id="20"/>
    </w:p>
    <w:p w14:paraId="2B5213BD" w14:textId="001642CB" w:rsidR="00DA410D" w:rsidRPr="003C2CC1" w:rsidRDefault="00F507CC" w:rsidP="00D70A22">
      <w:bookmarkStart w:id="21" w:name="_Toc13455205"/>
      <w:r w:rsidRPr="003C2CC1">
        <w:t>Diante disso</w:t>
      </w:r>
      <w:r w:rsidR="00A950A3" w:rsidRPr="003C2CC1">
        <w:t>, e</w:t>
      </w:r>
      <w:r w:rsidR="008B0878" w:rsidRPr="003C2CC1">
        <w:t xml:space="preserve">sse modelo </w:t>
      </w:r>
      <w:r w:rsidR="004967B3" w:rsidRPr="003C2CC1">
        <w:t>de transmissão codificado</w:t>
      </w:r>
      <w:r w:rsidR="00DD58E5" w:rsidRPr="003C2CC1">
        <w:t xml:space="preserve"> de informação</w:t>
      </w:r>
      <w:r w:rsidR="00803D47" w:rsidRPr="003C2CC1">
        <w:t>, apesar da influência que</w:t>
      </w:r>
      <w:r w:rsidR="009F0ADD" w:rsidRPr="003C2CC1">
        <w:t xml:space="preserve"> </w:t>
      </w:r>
      <w:r w:rsidR="00803D47" w:rsidRPr="003C2CC1">
        <w:t>exerceu n</w:t>
      </w:r>
      <w:r w:rsidR="009F0ADD" w:rsidRPr="003C2CC1">
        <w:t xml:space="preserve">a cultura coletiva </w:t>
      </w:r>
      <w:r w:rsidR="002747AA" w:rsidRPr="003C2CC1">
        <w:t>desde seu surgimento, constituindo-se</w:t>
      </w:r>
      <w:r w:rsidR="00D4694E" w:rsidRPr="003C2CC1">
        <w:t xml:space="preserve"> relevante </w:t>
      </w:r>
      <w:r w:rsidR="00AF31E8" w:rsidRPr="003C2CC1">
        <w:t xml:space="preserve">para todos os estudiosos de comunicação, </w:t>
      </w:r>
      <w:r w:rsidR="00920E22" w:rsidRPr="003C2CC1">
        <w:t xml:space="preserve">gera questionamentos </w:t>
      </w:r>
      <w:r w:rsidR="00EF6CA5" w:rsidRPr="003C2CC1">
        <w:t xml:space="preserve">por não garantir </w:t>
      </w:r>
      <w:r w:rsidR="00FD23E9" w:rsidRPr="003C2CC1">
        <w:t xml:space="preserve">a eficácia do processo comunicativo </w:t>
      </w:r>
      <w:r w:rsidR="00351A8E" w:rsidRPr="003C2CC1">
        <w:t>(</w:t>
      </w:r>
      <w:proofErr w:type="spellStart"/>
      <w:r w:rsidR="00C57BFB" w:rsidRPr="003C2CC1">
        <w:t>Genelot</w:t>
      </w:r>
      <w:proofErr w:type="spellEnd"/>
      <w:r w:rsidR="00351A8E" w:rsidRPr="003C2CC1">
        <w:t>,</w:t>
      </w:r>
      <w:r w:rsidR="00C57BFB" w:rsidRPr="003C2CC1">
        <w:t xml:space="preserve"> 2001)</w:t>
      </w:r>
      <w:r w:rsidR="00FD23E9" w:rsidRPr="003C2CC1">
        <w:t>.</w:t>
      </w:r>
      <w:r w:rsidR="002B6395" w:rsidRPr="003C2CC1">
        <w:t xml:space="preserve"> </w:t>
      </w:r>
      <w:r w:rsidR="00230420" w:rsidRPr="003C2CC1">
        <w:t>Corroborando com essa visão</w:t>
      </w:r>
      <w:r w:rsidR="00504488" w:rsidRPr="003C2CC1">
        <w:t>, a</w:t>
      </w:r>
      <w:r w:rsidR="00E84FF8" w:rsidRPr="003C2CC1">
        <w:t xml:space="preserve"> TMC </w:t>
      </w:r>
      <w:r w:rsidR="00132D28" w:rsidRPr="003C2CC1">
        <w:t xml:space="preserve">é </w:t>
      </w:r>
      <w:r w:rsidR="00117E11" w:rsidRPr="003C2CC1">
        <w:t xml:space="preserve">essencial na construção de um paradigma físico </w:t>
      </w:r>
      <w:r w:rsidR="008C4B5B" w:rsidRPr="003C2CC1">
        <w:t xml:space="preserve">da ciência da informação ao promover </w:t>
      </w:r>
      <w:r w:rsidR="00056FE3" w:rsidRPr="003C2CC1">
        <w:t>“</w:t>
      </w:r>
      <w:r w:rsidR="008E1D7D" w:rsidRPr="003C2CC1">
        <w:t>perspectivas na representação transmissiva</w:t>
      </w:r>
      <w:r w:rsidR="00056FE3" w:rsidRPr="003C2CC1">
        <w:t xml:space="preserve"> da informação</w:t>
      </w:r>
      <w:r w:rsidR="00C94F4D" w:rsidRPr="003C2CC1">
        <w:t>”</w:t>
      </w:r>
      <w:r w:rsidR="00D401D4" w:rsidRPr="003C2CC1">
        <w:t>, no entanto, “inibe o pensamento deste campo na construção social da informação e nas relações entre os sujeitos da informação</w:t>
      </w:r>
      <w:r w:rsidR="00FA60C3" w:rsidRPr="003C2CC1">
        <w:t xml:space="preserve"> (S</w:t>
      </w:r>
      <w:r w:rsidR="00BA1958">
        <w:t>ilva</w:t>
      </w:r>
      <w:r w:rsidR="00FA60C3" w:rsidRPr="003C2CC1">
        <w:t>, 2016, p.214)</w:t>
      </w:r>
      <w:r w:rsidR="00C94F4D" w:rsidRPr="003C2CC1">
        <w:t>.</w:t>
      </w:r>
      <w:bookmarkEnd w:id="21"/>
    </w:p>
    <w:p w14:paraId="296AA8B1" w14:textId="4F47231E" w:rsidR="00322F8A" w:rsidRDefault="00AC37B7" w:rsidP="00D70A22">
      <w:bookmarkStart w:id="22" w:name="_Toc13455206"/>
      <w:r w:rsidRPr="003C2CC1">
        <w:t xml:space="preserve">Quando </w:t>
      </w:r>
      <w:r w:rsidR="00C47179" w:rsidRPr="003C2CC1">
        <w:t>aplicada</w:t>
      </w:r>
      <w:r w:rsidR="00DE4D1E" w:rsidRPr="003C2CC1">
        <w:t xml:space="preserve"> </w:t>
      </w:r>
      <w:r w:rsidR="00BE2EAC" w:rsidRPr="003C2CC1">
        <w:t>à comunicação humana</w:t>
      </w:r>
      <w:r w:rsidR="00E10794" w:rsidRPr="003C2CC1">
        <w:t xml:space="preserve"> e à </w:t>
      </w:r>
      <w:r w:rsidR="001C1E37" w:rsidRPr="003C2CC1">
        <w:t xml:space="preserve">noção de semiótica, ou seja, ao estudo da construção do significado, </w:t>
      </w:r>
      <w:proofErr w:type="spellStart"/>
      <w:r w:rsidR="007437F3" w:rsidRPr="003C2CC1">
        <w:t>Wersig</w:t>
      </w:r>
      <w:proofErr w:type="spellEnd"/>
      <w:r w:rsidR="007437F3" w:rsidRPr="003C2CC1">
        <w:t xml:space="preserve"> (1996) retrata</w:t>
      </w:r>
      <w:r w:rsidR="00C47179" w:rsidRPr="003C2CC1">
        <w:t xml:space="preserve"> </w:t>
      </w:r>
      <w:r w:rsidR="00FA6267" w:rsidRPr="003C2CC1">
        <w:t>a limitação</w:t>
      </w:r>
      <w:r w:rsidR="00F83AF3" w:rsidRPr="003C2CC1">
        <w:t xml:space="preserve"> </w:t>
      </w:r>
      <w:r w:rsidR="00C96F98" w:rsidRPr="003C2CC1">
        <w:t>d</w:t>
      </w:r>
      <w:r w:rsidR="00FC344A" w:rsidRPr="003C2CC1">
        <w:t xml:space="preserve">a teoria </w:t>
      </w:r>
      <w:r w:rsidR="0029382F">
        <w:t xml:space="preserve">ao </w:t>
      </w:r>
      <w:r w:rsidR="00FA6267" w:rsidRPr="003C2CC1">
        <w:t>tratar</w:t>
      </w:r>
      <w:r w:rsidR="00467B4E" w:rsidRPr="003C2CC1">
        <w:t xml:space="preserve"> somente </w:t>
      </w:r>
      <w:r w:rsidR="00FA6267" w:rsidRPr="003C2CC1">
        <w:t>da</w:t>
      </w:r>
      <w:r w:rsidR="00467B4E" w:rsidRPr="003C2CC1">
        <w:t xml:space="preserve"> relação </w:t>
      </w:r>
      <w:r w:rsidR="00A351EA" w:rsidRPr="003C2CC1">
        <w:t xml:space="preserve">entre sinais, sem adentrar </w:t>
      </w:r>
      <w:r w:rsidR="007B3C48" w:rsidRPr="003C2CC1">
        <w:t xml:space="preserve">no elo </w:t>
      </w:r>
      <w:r w:rsidR="00AF7378" w:rsidRPr="003C2CC1">
        <w:t xml:space="preserve">destes </w:t>
      </w:r>
      <w:r w:rsidR="007B3C48" w:rsidRPr="003C2CC1">
        <w:t>com significados</w:t>
      </w:r>
      <w:r w:rsidR="00AF7378" w:rsidRPr="003C2CC1">
        <w:t xml:space="preserve"> (semântico)</w:t>
      </w:r>
      <w:r w:rsidR="007B3C48" w:rsidRPr="003C2CC1">
        <w:t xml:space="preserve"> e </w:t>
      </w:r>
      <w:r w:rsidR="00AF7378" w:rsidRPr="003C2CC1">
        <w:t xml:space="preserve">nem com </w:t>
      </w:r>
      <w:r w:rsidR="00AF7378" w:rsidRPr="003C2CC1">
        <w:lastRenderedPageBreak/>
        <w:t>humanos (pragmático).</w:t>
      </w:r>
      <w:r w:rsidR="003A34DC" w:rsidRPr="003C2CC1">
        <w:t xml:space="preserve"> </w:t>
      </w:r>
      <w:r w:rsidR="001C48F5" w:rsidRPr="003C2CC1">
        <w:t>De acordo com Silva (2016), e</w:t>
      </w:r>
      <w:r w:rsidR="00202B9B" w:rsidRPr="003C2CC1">
        <w:t xml:space="preserve">sse olhar mais reduzido </w:t>
      </w:r>
      <w:r w:rsidR="00D250FE" w:rsidRPr="003C2CC1">
        <w:t xml:space="preserve">sobre o processo da informação </w:t>
      </w:r>
      <w:r w:rsidR="001C48F5" w:rsidRPr="003C2CC1">
        <w:t xml:space="preserve">ajudou na consolidação </w:t>
      </w:r>
      <w:r w:rsidR="00D828B1" w:rsidRPr="003C2CC1">
        <w:t>históri</w:t>
      </w:r>
      <w:r w:rsidR="00DA543E" w:rsidRPr="003C2CC1">
        <w:t>c</w:t>
      </w:r>
      <w:r w:rsidR="00D828B1" w:rsidRPr="003C2CC1">
        <w:t>a da ciência, mas resta claro a necessidade d</w:t>
      </w:r>
      <w:r w:rsidR="007C5DB6" w:rsidRPr="003C2CC1">
        <w:t>e</w:t>
      </w:r>
      <w:r w:rsidR="00D828B1" w:rsidRPr="003C2CC1">
        <w:t xml:space="preserve"> </w:t>
      </w:r>
      <w:r w:rsidR="005A28F6" w:rsidRPr="003C2CC1">
        <w:t>inserção dos aspectos qualitativos e sociais ao conceito de informação.</w:t>
      </w:r>
      <w:bookmarkEnd w:id="22"/>
    </w:p>
    <w:p w14:paraId="202C2F38" w14:textId="77777777" w:rsidR="003966B8" w:rsidRPr="003C2CC1" w:rsidRDefault="003966B8" w:rsidP="00D70A22"/>
    <w:p w14:paraId="51992E15" w14:textId="5A1C42B8" w:rsidR="00E9216E" w:rsidRDefault="005374D4" w:rsidP="00D70A22">
      <w:pPr>
        <w:pStyle w:val="Ttulo3"/>
      </w:pPr>
      <w:bookmarkStart w:id="23" w:name="_Toc16087691"/>
      <w:r w:rsidRPr="003C2CC1">
        <w:t xml:space="preserve">1.3.2 </w:t>
      </w:r>
      <w:r w:rsidR="007C6439" w:rsidRPr="003C2CC1">
        <w:t xml:space="preserve">Transparência </w:t>
      </w:r>
      <w:r w:rsidR="00884158" w:rsidRPr="003C2CC1">
        <w:t>como</w:t>
      </w:r>
      <w:r w:rsidR="006574D2" w:rsidRPr="003C2CC1">
        <w:t xml:space="preserve"> </w:t>
      </w:r>
      <w:r w:rsidR="009B5E8A" w:rsidRPr="003C2CC1">
        <w:t>inteligibilidade</w:t>
      </w:r>
      <w:r w:rsidR="003E3F92" w:rsidRPr="003C2CC1">
        <w:t xml:space="preserve"> d</w:t>
      </w:r>
      <w:r w:rsidR="009B5E8A" w:rsidRPr="003C2CC1">
        <w:t>o</w:t>
      </w:r>
      <w:r w:rsidR="003E3F92" w:rsidRPr="003C2CC1">
        <w:t xml:space="preserve"> conteúdo</w:t>
      </w:r>
      <w:r w:rsidR="007C6439" w:rsidRPr="003C2CC1">
        <w:t xml:space="preserve"> e a </w:t>
      </w:r>
      <w:r w:rsidR="00F25F5B" w:rsidRPr="003C2CC1">
        <w:t xml:space="preserve">introdução </w:t>
      </w:r>
      <w:r w:rsidR="00D7271A" w:rsidRPr="003C2CC1">
        <w:t>do receptor na</w:t>
      </w:r>
      <w:r w:rsidR="007C6439" w:rsidRPr="003C2CC1">
        <w:t xml:space="preserve"> teoria</w:t>
      </w:r>
      <w:r w:rsidR="00D7271A" w:rsidRPr="003C2CC1">
        <w:t xml:space="preserve"> </w:t>
      </w:r>
      <w:r w:rsidR="007C6439" w:rsidRPr="003C2CC1">
        <w:t>d</w:t>
      </w:r>
      <w:r w:rsidR="00D7271A" w:rsidRPr="003C2CC1">
        <w:t>a</w:t>
      </w:r>
      <w:r w:rsidR="007C6439" w:rsidRPr="003C2CC1">
        <w:t xml:space="preserve"> comunicação</w:t>
      </w:r>
      <w:bookmarkEnd w:id="23"/>
      <w:r w:rsidR="007C6439" w:rsidRPr="003C2CC1">
        <w:t xml:space="preserve"> </w:t>
      </w:r>
    </w:p>
    <w:p w14:paraId="093882B6" w14:textId="77777777" w:rsidR="003966B8" w:rsidRPr="003966B8" w:rsidRDefault="003966B8" w:rsidP="003966B8"/>
    <w:p w14:paraId="0FE5B05E" w14:textId="1699C8B4" w:rsidR="0033251E" w:rsidRPr="003C2CC1" w:rsidRDefault="006E4ADF" w:rsidP="00A06130">
      <w:bookmarkStart w:id="24" w:name="_Toc13455208"/>
      <w:r w:rsidRPr="003C2CC1">
        <w:t>Expost</w:t>
      </w:r>
      <w:r w:rsidR="006A2158" w:rsidRPr="003C2CC1">
        <w:t>a</w:t>
      </w:r>
      <w:r w:rsidR="00E81C30" w:rsidRPr="003C2CC1">
        <w:t xml:space="preserve"> a consolidação </w:t>
      </w:r>
      <w:r w:rsidR="00784890" w:rsidRPr="003C2CC1">
        <w:t>do arcabouço legal</w:t>
      </w:r>
      <w:r w:rsidR="00A563DB" w:rsidRPr="003C2CC1">
        <w:t xml:space="preserve">, no caso da transparência, </w:t>
      </w:r>
      <w:r w:rsidR="00CD68C3" w:rsidRPr="003C2CC1">
        <w:t xml:space="preserve">bem como </w:t>
      </w:r>
      <w:r w:rsidR="003B541B" w:rsidRPr="003C2CC1">
        <w:t xml:space="preserve">a construção de bases </w:t>
      </w:r>
      <w:r w:rsidR="00941D7C" w:rsidRPr="003C2CC1">
        <w:t>metodológicas</w:t>
      </w:r>
      <w:r w:rsidR="003B541B" w:rsidRPr="003C2CC1">
        <w:t xml:space="preserve"> sólidas</w:t>
      </w:r>
      <w:r w:rsidR="00941D7C" w:rsidRPr="003C2CC1">
        <w:t>, no que tange ao processo comunicativo,</w:t>
      </w:r>
      <w:r w:rsidR="00BB0AEC" w:rsidRPr="003C2CC1">
        <w:t xml:space="preserve"> </w:t>
      </w:r>
      <w:r w:rsidR="003E0227" w:rsidRPr="003C2CC1">
        <w:t>es</w:t>
      </w:r>
      <w:r w:rsidR="00B8408A" w:rsidRPr="003C2CC1">
        <w:t>te trabalho</w:t>
      </w:r>
      <w:r w:rsidR="005A1751" w:rsidRPr="003C2CC1">
        <w:t xml:space="preserve"> </w:t>
      </w:r>
      <w:r w:rsidR="001A1037" w:rsidRPr="003C2CC1">
        <w:t>apresenta</w:t>
      </w:r>
      <w:r w:rsidR="00B8408A" w:rsidRPr="003C2CC1">
        <w:t xml:space="preserve"> estudos que</w:t>
      </w:r>
      <w:r w:rsidR="00902A96" w:rsidRPr="003C2CC1">
        <w:t>, em prosseguimento</w:t>
      </w:r>
      <w:r w:rsidR="004878AA" w:rsidRPr="003C2CC1">
        <w:t xml:space="preserve"> à </w:t>
      </w:r>
      <w:r w:rsidR="006A2158" w:rsidRPr="003C2CC1">
        <w:t>visão</w:t>
      </w:r>
      <w:r w:rsidR="004878AA" w:rsidRPr="003C2CC1">
        <w:t xml:space="preserve"> introdutória</w:t>
      </w:r>
      <w:r w:rsidR="00902A96" w:rsidRPr="003C2CC1">
        <w:t>,</w:t>
      </w:r>
      <w:r w:rsidR="004878AA" w:rsidRPr="003C2CC1">
        <w:t xml:space="preserve"> </w:t>
      </w:r>
      <w:r w:rsidR="00902A96" w:rsidRPr="003C2CC1">
        <w:t>abordam</w:t>
      </w:r>
      <w:r w:rsidR="001623F2" w:rsidRPr="003C2CC1">
        <w:t xml:space="preserve"> a importância de se pensar </w:t>
      </w:r>
      <w:r w:rsidR="00402B67" w:rsidRPr="003C2CC1">
        <w:t xml:space="preserve">a transparência </w:t>
      </w:r>
      <w:r w:rsidR="00174F1C" w:rsidRPr="003C2CC1">
        <w:t xml:space="preserve">além da simples abertura </w:t>
      </w:r>
      <w:r w:rsidR="001623F2" w:rsidRPr="003C2CC1">
        <w:t xml:space="preserve">da informação </w:t>
      </w:r>
      <w:r w:rsidR="005F20FC" w:rsidRPr="003C2CC1">
        <w:t>pública</w:t>
      </w:r>
      <w:r w:rsidR="00174F1C" w:rsidRPr="003C2CC1">
        <w:t xml:space="preserve"> aos atores sociais</w:t>
      </w:r>
      <w:r w:rsidR="00943700" w:rsidRPr="003C2CC1">
        <w:t xml:space="preserve">, </w:t>
      </w:r>
      <w:r w:rsidR="005F20FC" w:rsidRPr="003C2CC1">
        <w:t xml:space="preserve"> </w:t>
      </w:r>
      <w:r w:rsidR="007A71B9" w:rsidRPr="003C2CC1">
        <w:t>expondo</w:t>
      </w:r>
      <w:r w:rsidR="0036193A" w:rsidRPr="003C2CC1">
        <w:t xml:space="preserve"> </w:t>
      </w:r>
      <w:r w:rsidR="00CD5B05" w:rsidRPr="003C2CC1">
        <w:t>elementos</w:t>
      </w:r>
      <w:r w:rsidR="0036193A" w:rsidRPr="003C2CC1">
        <w:t xml:space="preserve"> de comunicação </w:t>
      </w:r>
      <w:r w:rsidR="00CF5E83" w:rsidRPr="003C2CC1">
        <w:t xml:space="preserve">que </w:t>
      </w:r>
      <w:r w:rsidR="00C27498" w:rsidRPr="003C2CC1">
        <w:t xml:space="preserve">podem contribuir com </w:t>
      </w:r>
      <w:r w:rsidR="006D53F8" w:rsidRPr="003C2CC1">
        <w:t>essa tarefa,</w:t>
      </w:r>
      <w:r w:rsidR="00C27498" w:rsidRPr="003C2CC1">
        <w:t xml:space="preserve"> </w:t>
      </w:r>
      <w:r w:rsidR="003B49B9" w:rsidRPr="003C2CC1">
        <w:t>ao tratarem da informação sob</w:t>
      </w:r>
      <w:r w:rsidR="00CD5B05" w:rsidRPr="003C2CC1">
        <w:t xml:space="preserve"> o prisma</w:t>
      </w:r>
      <w:r w:rsidR="00274E2D" w:rsidRPr="003C2CC1">
        <w:t xml:space="preserve"> </w:t>
      </w:r>
      <w:r w:rsidR="00CD5B05" w:rsidRPr="003C2CC1">
        <w:t>do receptor da mensagem.</w:t>
      </w:r>
      <w:bookmarkEnd w:id="24"/>
      <w:r w:rsidR="003F72A8" w:rsidRPr="003C2CC1">
        <w:t xml:space="preserve"> </w:t>
      </w:r>
    </w:p>
    <w:p w14:paraId="2DF08933" w14:textId="6E93AA66" w:rsidR="002C218C" w:rsidRPr="003C2CC1" w:rsidRDefault="00136423" w:rsidP="00A06130">
      <w:bookmarkStart w:id="25" w:name="_Toc13455209"/>
      <w:r w:rsidRPr="003C2CC1">
        <w:t>Griffith (2006)</w:t>
      </w:r>
      <w:r w:rsidR="004521B5" w:rsidRPr="003C2CC1">
        <w:t xml:space="preserve"> </w:t>
      </w:r>
      <w:r w:rsidR="000556C9" w:rsidRPr="003C2CC1">
        <w:t xml:space="preserve">defende que a transparência não se limita </w:t>
      </w:r>
      <w:r w:rsidR="00065F8B" w:rsidRPr="003C2CC1">
        <w:t xml:space="preserve">ao acesso a documentos, alcança </w:t>
      </w:r>
      <w:r w:rsidR="00F111B2" w:rsidRPr="003C2CC1">
        <w:t>essencialmente a compreensão desses documentos.</w:t>
      </w:r>
      <w:r w:rsidR="005E04A0" w:rsidRPr="003C2CC1">
        <w:t xml:space="preserve"> </w:t>
      </w:r>
      <w:r w:rsidR="003F2356" w:rsidRPr="003C2CC1">
        <w:t xml:space="preserve">De acordo com </w:t>
      </w:r>
      <w:proofErr w:type="spellStart"/>
      <w:r w:rsidR="003F2356" w:rsidRPr="003C2CC1">
        <w:t>Heald</w:t>
      </w:r>
      <w:proofErr w:type="spellEnd"/>
      <w:r w:rsidR="003F2356" w:rsidRPr="003C2CC1">
        <w:t xml:space="preserve"> (2006), </w:t>
      </w:r>
      <w:proofErr w:type="spellStart"/>
      <w:r w:rsidR="00FE435D" w:rsidRPr="003C2CC1">
        <w:t>Birkinshaw</w:t>
      </w:r>
      <w:proofErr w:type="spellEnd"/>
      <w:r w:rsidR="005E04A0" w:rsidRPr="003C2CC1">
        <w:t xml:space="preserve"> </w:t>
      </w:r>
      <w:r w:rsidR="00882670" w:rsidRPr="003C2CC1">
        <w:t>(2006) corrobora com essa visão</w:t>
      </w:r>
      <w:r w:rsidR="00FE435D" w:rsidRPr="003C2CC1">
        <w:t xml:space="preserve"> </w:t>
      </w:r>
      <w:r w:rsidR="00D95F93" w:rsidRPr="003C2CC1">
        <w:t>e</w:t>
      </w:r>
      <w:r w:rsidR="00FE435D" w:rsidRPr="003C2CC1">
        <w:t xml:space="preserve"> cita que </w:t>
      </w:r>
      <w:r w:rsidR="00BC1538" w:rsidRPr="003C2CC1">
        <w:t xml:space="preserve">a transparência, </w:t>
      </w:r>
      <w:r w:rsidR="000A7940" w:rsidRPr="003C2CC1">
        <w:t>além</w:t>
      </w:r>
      <w:r w:rsidR="00B84283" w:rsidRPr="003C2CC1">
        <w:t xml:space="preserve"> </w:t>
      </w:r>
      <w:r w:rsidR="000A7940" w:rsidRPr="003C2CC1">
        <w:t>d</w:t>
      </w:r>
      <w:r w:rsidR="00B84283" w:rsidRPr="003C2CC1">
        <w:t xml:space="preserve">a abertura </w:t>
      </w:r>
      <w:r w:rsidR="000A7940" w:rsidRPr="003C2CC1">
        <w:t xml:space="preserve">de operações e atividades do Estado, exige </w:t>
      </w:r>
      <w:r w:rsidR="00411A26" w:rsidRPr="003C2CC1">
        <w:t>que o conteúdo seja acessível,</w:t>
      </w:r>
      <w:r w:rsidR="009B13AF" w:rsidRPr="003C2CC1">
        <w:t xml:space="preserve"> devendo enfrentar a complexidade, a desordem e o segredo para atingir </w:t>
      </w:r>
      <w:r w:rsidR="00392A69" w:rsidRPr="003C2CC1">
        <w:t xml:space="preserve">tal finalidade. Ainda em </w:t>
      </w:r>
      <w:proofErr w:type="spellStart"/>
      <w:r w:rsidR="00392A69" w:rsidRPr="003C2CC1">
        <w:t>Heald</w:t>
      </w:r>
      <w:proofErr w:type="spellEnd"/>
      <w:r w:rsidR="00392A69" w:rsidRPr="003C2CC1">
        <w:t xml:space="preserve"> (2006), </w:t>
      </w:r>
      <w:r w:rsidR="0058043F" w:rsidRPr="003C2CC1">
        <w:t xml:space="preserve">e </w:t>
      </w:r>
      <w:r w:rsidR="004D13F6" w:rsidRPr="003C2CC1">
        <w:t>na mesma linha</w:t>
      </w:r>
      <w:r w:rsidR="00D3088E" w:rsidRPr="003C2CC1">
        <w:t xml:space="preserve"> argumentativa</w:t>
      </w:r>
      <w:r w:rsidR="004D13F6" w:rsidRPr="003C2CC1">
        <w:t>, Larsson (1998)</w:t>
      </w:r>
      <w:r w:rsidR="00D3088E" w:rsidRPr="003C2CC1">
        <w:t xml:space="preserve"> </w:t>
      </w:r>
      <w:r w:rsidR="009F4BDC" w:rsidRPr="003C2CC1">
        <w:t xml:space="preserve">sustenta </w:t>
      </w:r>
      <w:r w:rsidR="00130C53" w:rsidRPr="003C2CC1">
        <w:t xml:space="preserve">que a simplicidade e </w:t>
      </w:r>
      <w:r w:rsidR="00110C45" w:rsidRPr="003C2CC1">
        <w:t xml:space="preserve">a </w:t>
      </w:r>
      <w:r w:rsidR="00130C53" w:rsidRPr="003C2CC1">
        <w:t xml:space="preserve">possibilidade de compreensão </w:t>
      </w:r>
      <w:r w:rsidR="00110C45" w:rsidRPr="003C2CC1">
        <w:t>constituem</w:t>
      </w:r>
      <w:r w:rsidR="00130C53" w:rsidRPr="003C2CC1">
        <w:t xml:space="preserve"> a transparência</w:t>
      </w:r>
      <w:r w:rsidR="003B2FEB" w:rsidRPr="003C2CC1">
        <w:t>.</w:t>
      </w:r>
      <w:r w:rsidR="00D235D7" w:rsidRPr="003C2CC1">
        <w:t xml:space="preserve"> Dessa forma, a capacidade de </w:t>
      </w:r>
      <w:r w:rsidR="00CB7CF4" w:rsidRPr="003C2CC1">
        <w:t xml:space="preserve">processamento da informação disponibilizada é condição </w:t>
      </w:r>
      <w:r w:rsidR="000254E0" w:rsidRPr="003C2CC1">
        <w:t>necessária</w:t>
      </w:r>
      <w:r w:rsidR="00CB7CF4" w:rsidRPr="003C2CC1">
        <w:t xml:space="preserve"> para</w:t>
      </w:r>
      <w:r w:rsidR="00EB4CF1" w:rsidRPr="003C2CC1">
        <w:t xml:space="preserve"> que</w:t>
      </w:r>
      <w:r w:rsidR="00492415" w:rsidRPr="003C2CC1">
        <w:t xml:space="preserve"> um ente públic</w:t>
      </w:r>
      <w:r w:rsidR="004E7C39" w:rsidRPr="003C2CC1">
        <w:t>o</w:t>
      </w:r>
      <w:r w:rsidR="00492415" w:rsidRPr="003C2CC1">
        <w:t xml:space="preserve"> seja transparente.</w:t>
      </w:r>
      <w:bookmarkEnd w:id="25"/>
      <w:r w:rsidR="00EB4CF1" w:rsidRPr="003C2CC1">
        <w:t xml:space="preserve"> </w:t>
      </w:r>
    </w:p>
    <w:p w14:paraId="1F4AEE62" w14:textId="633A7DF0" w:rsidR="002068DC" w:rsidRPr="003C2CC1" w:rsidRDefault="00C02A69" w:rsidP="00A06130">
      <w:bookmarkStart w:id="26" w:name="_Toc13455210"/>
      <w:r w:rsidRPr="003C2CC1">
        <w:t>Moreira (2013)</w:t>
      </w:r>
      <w:r w:rsidR="00746AEA" w:rsidRPr="003C2CC1">
        <w:t xml:space="preserve">, em análise sobre </w:t>
      </w:r>
      <w:r w:rsidR="003B62A0" w:rsidRPr="003C2CC1">
        <w:t xml:space="preserve">abertura e transparência, </w:t>
      </w:r>
      <w:r w:rsidR="00883432" w:rsidRPr="003C2CC1">
        <w:t xml:space="preserve">alega que </w:t>
      </w:r>
      <w:r w:rsidR="00E77502" w:rsidRPr="003C2CC1">
        <w:t>es</w:t>
      </w:r>
      <w:r w:rsidR="00CF6098" w:rsidRPr="003C2CC1">
        <w:t>s</w:t>
      </w:r>
      <w:r w:rsidR="00E77502" w:rsidRPr="003C2CC1">
        <w:t>es</w:t>
      </w:r>
      <w:r w:rsidR="002C73B6" w:rsidRPr="003C2CC1">
        <w:t xml:space="preserve"> dois mecanismos </w:t>
      </w:r>
      <w:r w:rsidR="00AA678F" w:rsidRPr="003C2CC1">
        <w:t xml:space="preserve">têm uma relação próxima, mas são distintos. </w:t>
      </w:r>
      <w:r w:rsidR="00BE331B" w:rsidRPr="003C2CC1">
        <w:t>E a característica diferenciadora</w:t>
      </w:r>
      <w:r w:rsidR="00AA678F" w:rsidRPr="003C2CC1">
        <w:t xml:space="preserve"> </w:t>
      </w:r>
      <w:r w:rsidR="00404E0E" w:rsidRPr="003C2CC1">
        <w:t xml:space="preserve">se </w:t>
      </w:r>
      <w:r w:rsidR="00D06C4E" w:rsidRPr="003C2CC1">
        <w:t xml:space="preserve">fundamenta na inteligibilidade do conteúdo, alicerce </w:t>
      </w:r>
      <w:r w:rsidR="00FF4B6C" w:rsidRPr="003C2CC1">
        <w:t>substancial da transparência</w:t>
      </w:r>
      <w:r w:rsidR="00EA10E2" w:rsidRPr="003C2CC1">
        <w:t>.</w:t>
      </w:r>
      <w:r w:rsidR="001705E1" w:rsidRPr="003C2CC1">
        <w:t xml:space="preserve"> Dessa forma, </w:t>
      </w:r>
      <w:r w:rsidR="009B7B9C" w:rsidRPr="003C2CC1">
        <w:t xml:space="preserve">quando há a oferta de </w:t>
      </w:r>
      <w:r w:rsidR="00484928" w:rsidRPr="003C2CC1">
        <w:t>“documentos e dados em estado bruto”</w:t>
      </w:r>
      <w:r w:rsidR="008F4B0F" w:rsidRPr="003C2CC1">
        <w:t xml:space="preserve">, pode-se dizer que uma instituição é aberta. </w:t>
      </w:r>
      <w:r w:rsidR="00E4453D" w:rsidRPr="003C2CC1">
        <w:t xml:space="preserve">Se </w:t>
      </w:r>
      <w:r w:rsidR="00A63279" w:rsidRPr="003C2CC1">
        <w:t>a informação é apresentada “de maneira que pode ser compreendida por um cidadão comum, alguém não especialista</w:t>
      </w:r>
      <w:r w:rsidR="000C37BB" w:rsidRPr="003C2CC1">
        <w:t xml:space="preserve"> em finanças ou legislação”, </w:t>
      </w:r>
      <w:r w:rsidR="002068DC" w:rsidRPr="003C2CC1">
        <w:t>a mesma instituição recebe a alcunha de transparente (M</w:t>
      </w:r>
      <w:r w:rsidR="00BA1958">
        <w:t>oreira</w:t>
      </w:r>
      <w:r w:rsidR="002068DC" w:rsidRPr="003C2CC1">
        <w:t>, 2013, p.170).</w:t>
      </w:r>
      <w:r w:rsidR="00C31E99" w:rsidRPr="003C2CC1">
        <w:t xml:space="preserve"> </w:t>
      </w:r>
      <w:r w:rsidR="00BF146B" w:rsidRPr="003C2CC1">
        <w:t>Percebe-se que</w:t>
      </w:r>
      <w:r w:rsidR="00D34A28" w:rsidRPr="003C2CC1">
        <w:t xml:space="preserve">: (a) </w:t>
      </w:r>
      <w:r w:rsidR="00ED0490" w:rsidRPr="003C2CC1">
        <w:t>a transparência só existe se houver abertura</w:t>
      </w:r>
      <w:r w:rsidR="00EA68F6" w:rsidRPr="003C2CC1">
        <w:t xml:space="preserve">, haja vista </w:t>
      </w:r>
      <w:r w:rsidR="00C8061F" w:rsidRPr="003C2CC1">
        <w:t xml:space="preserve">que as informações precisam </w:t>
      </w:r>
      <w:r w:rsidR="008C0901" w:rsidRPr="003C2CC1">
        <w:t xml:space="preserve">estar disponíveis </w:t>
      </w:r>
      <w:r w:rsidR="00C8061F" w:rsidRPr="003C2CC1">
        <w:t xml:space="preserve">para que </w:t>
      </w:r>
      <w:r w:rsidR="008C0901" w:rsidRPr="003C2CC1">
        <w:t>elas</w:t>
      </w:r>
      <w:r w:rsidR="00C8061F" w:rsidRPr="003C2CC1">
        <w:t xml:space="preserve"> sejam intel</w:t>
      </w:r>
      <w:r w:rsidR="00946DAE" w:rsidRPr="003C2CC1">
        <w:t>i</w:t>
      </w:r>
      <w:r w:rsidR="00C8061F" w:rsidRPr="003C2CC1">
        <w:t>gíveis</w:t>
      </w:r>
      <w:r w:rsidR="006D4388" w:rsidRPr="003C2CC1">
        <w:t xml:space="preserve"> – ou não</w:t>
      </w:r>
      <w:r w:rsidR="008C0901" w:rsidRPr="003C2CC1">
        <w:t>;</w:t>
      </w:r>
      <w:r w:rsidR="006D4388" w:rsidRPr="003C2CC1">
        <w:t xml:space="preserve"> (b) </w:t>
      </w:r>
      <w:r w:rsidR="00D674DC" w:rsidRPr="003C2CC1">
        <w:t>pode haver abertura sem transparência</w:t>
      </w:r>
      <w:r w:rsidR="008E3EB1" w:rsidRPr="003C2CC1">
        <w:t>, pois informações p</w:t>
      </w:r>
      <w:r w:rsidR="00946DAE" w:rsidRPr="003C2CC1">
        <w:t xml:space="preserve">odem estar disponíveis ao cidadão comum </w:t>
      </w:r>
      <w:r w:rsidR="009C6B06" w:rsidRPr="003C2CC1">
        <w:t>em um</w:t>
      </w:r>
      <w:r w:rsidR="00025969" w:rsidRPr="003C2CC1">
        <w:t>a</w:t>
      </w:r>
      <w:r w:rsidR="009C6B06" w:rsidRPr="003C2CC1">
        <w:t xml:space="preserve"> linguagem não compreensível.</w:t>
      </w:r>
      <w:bookmarkEnd w:id="26"/>
      <w:r w:rsidR="008C0901" w:rsidRPr="003C2CC1">
        <w:t xml:space="preserve"> </w:t>
      </w:r>
      <w:r w:rsidR="00BF146B" w:rsidRPr="003C2CC1">
        <w:t xml:space="preserve"> </w:t>
      </w:r>
    </w:p>
    <w:p w14:paraId="1AE61F00" w14:textId="0000A9D4" w:rsidR="004E7C39" w:rsidRPr="003C2CC1" w:rsidRDefault="00694685" w:rsidP="00A06130">
      <w:bookmarkStart w:id="27" w:name="_Toc13455211"/>
      <w:r w:rsidRPr="003C2CC1">
        <w:t xml:space="preserve">Dessa maneira, </w:t>
      </w:r>
      <w:r w:rsidR="00577B18" w:rsidRPr="003C2CC1">
        <w:t xml:space="preserve">resta claro que </w:t>
      </w:r>
      <w:r w:rsidR="00C43291" w:rsidRPr="003C2CC1">
        <w:t>os gestores públicos</w:t>
      </w:r>
      <w:r w:rsidR="00240FDE" w:rsidRPr="003C2CC1">
        <w:t>, para serem</w:t>
      </w:r>
      <w:r w:rsidR="00FF5F09" w:rsidRPr="003C2CC1">
        <w:t xml:space="preserve"> transparente</w:t>
      </w:r>
      <w:r w:rsidR="00C43291" w:rsidRPr="003C2CC1">
        <w:t>s</w:t>
      </w:r>
      <w:r w:rsidR="00240FDE" w:rsidRPr="003C2CC1">
        <w:t>,</w:t>
      </w:r>
      <w:r w:rsidR="00FF5F09" w:rsidRPr="003C2CC1">
        <w:t xml:space="preserve"> precisa</w:t>
      </w:r>
      <w:r w:rsidR="00B90DD1" w:rsidRPr="003C2CC1">
        <w:t>m</w:t>
      </w:r>
      <w:r w:rsidR="00FF5F09" w:rsidRPr="003C2CC1">
        <w:t xml:space="preserve"> garantir </w:t>
      </w:r>
      <w:r w:rsidR="000E4923" w:rsidRPr="003C2CC1">
        <w:t xml:space="preserve">o acesso à informação e a compreensão por parte do </w:t>
      </w:r>
      <w:r w:rsidR="00C43291" w:rsidRPr="003C2CC1">
        <w:t>público</w:t>
      </w:r>
      <w:r w:rsidR="000E4923" w:rsidRPr="003C2CC1">
        <w:t xml:space="preserve"> não especialista, </w:t>
      </w:r>
      <w:r w:rsidR="00CE1970" w:rsidRPr="003C2CC1">
        <w:t xml:space="preserve">pois esses </w:t>
      </w:r>
      <w:r w:rsidR="00CE1970" w:rsidRPr="003C2CC1">
        <w:lastRenderedPageBreak/>
        <w:t>dois fato</w:t>
      </w:r>
      <w:r w:rsidR="00D16EC5" w:rsidRPr="003C2CC1">
        <w:t>r</w:t>
      </w:r>
      <w:r w:rsidR="00CE1970" w:rsidRPr="003C2CC1">
        <w:t xml:space="preserve">es </w:t>
      </w:r>
      <w:r w:rsidR="00B14130" w:rsidRPr="003C2CC1">
        <w:t xml:space="preserve">gozam de </w:t>
      </w:r>
      <w:r w:rsidR="00FD7430" w:rsidRPr="003C2CC1">
        <w:t>papéis “vitais para o fortalecimento das democracias modernas, pois possibilitam que o poder público seja exercido de forma aberta e às vistas dos cidadãos, os quais podem</w:t>
      </w:r>
      <w:r w:rsidR="007F0287">
        <w:t>,</w:t>
      </w:r>
      <w:r w:rsidR="00FD7430" w:rsidRPr="003C2CC1">
        <w:t xml:space="preserve"> então, acompanhar, avaliar e auxiliar no controle da gestão daquilo que é público” (A</w:t>
      </w:r>
      <w:r w:rsidR="00BA1958">
        <w:t>morim</w:t>
      </w:r>
      <w:r w:rsidR="00FD7430" w:rsidRPr="003C2CC1">
        <w:t>; A</w:t>
      </w:r>
      <w:r w:rsidR="00BA1958">
        <w:t>lmada</w:t>
      </w:r>
      <w:r w:rsidR="00FD7430" w:rsidRPr="003C2CC1">
        <w:t>, 2014, p. 204</w:t>
      </w:r>
      <w:r w:rsidR="00A751ED">
        <w:t xml:space="preserve">, apud </w:t>
      </w:r>
      <w:proofErr w:type="spellStart"/>
      <w:r w:rsidR="00A751ED">
        <w:t>P</w:t>
      </w:r>
      <w:r w:rsidR="00BA1958">
        <w:t>ecoraro</w:t>
      </w:r>
      <w:proofErr w:type="spellEnd"/>
      <w:r w:rsidR="00A751ED">
        <w:t>,</w:t>
      </w:r>
      <w:r w:rsidR="00010589">
        <w:t xml:space="preserve"> </w:t>
      </w:r>
      <w:r w:rsidR="00DC2315">
        <w:t xml:space="preserve">2018, </w:t>
      </w:r>
      <w:r w:rsidR="000127B1">
        <w:t>p.</w:t>
      </w:r>
      <w:r w:rsidR="00435974">
        <w:t xml:space="preserve"> </w:t>
      </w:r>
      <w:r w:rsidR="007E0DAD">
        <w:t>34</w:t>
      </w:r>
      <w:r w:rsidR="00FD7430" w:rsidRPr="003C2CC1">
        <w:t>)</w:t>
      </w:r>
      <w:r w:rsidR="00B62370" w:rsidRPr="003C2CC1">
        <w:t xml:space="preserve">. </w:t>
      </w:r>
      <w:r w:rsidR="00AB287C" w:rsidRPr="003C2CC1">
        <w:t>De forma complementar</w:t>
      </w:r>
      <w:r w:rsidR="00F740C1" w:rsidRPr="003C2CC1">
        <w:t xml:space="preserve">, </w:t>
      </w:r>
      <w:r w:rsidR="0038409E">
        <w:t>Bloch</w:t>
      </w:r>
      <w:r w:rsidR="00F740C1" w:rsidRPr="003C2CC1">
        <w:t xml:space="preserve"> (2013) evidencia que </w:t>
      </w:r>
      <w:r w:rsidR="00461606" w:rsidRPr="003C2CC1">
        <w:t>a</w:t>
      </w:r>
      <w:r w:rsidR="00F740C1" w:rsidRPr="003C2CC1">
        <w:t xml:space="preserve"> comunicação </w:t>
      </w:r>
      <w:r w:rsidR="000824BB" w:rsidRPr="003C2CC1">
        <w:t xml:space="preserve">somente se configura </w:t>
      </w:r>
      <w:r w:rsidR="00F740C1" w:rsidRPr="003C2CC1">
        <w:t>quando atinge o destinatário da mensagem de forma efetiva e clara. “Só quando revestidos de significado os dados abstratos se tornam informação concreta ao usuário” (</w:t>
      </w:r>
      <w:r w:rsidR="0038409E">
        <w:t>Bloch</w:t>
      </w:r>
      <w:r w:rsidR="00F740C1" w:rsidRPr="003C2CC1">
        <w:t>, 2013, p.</w:t>
      </w:r>
      <w:r w:rsidR="00440F78">
        <w:t xml:space="preserve"> </w:t>
      </w:r>
      <w:r w:rsidR="00F740C1" w:rsidRPr="003C2CC1">
        <w:t>2</w:t>
      </w:r>
      <w:r w:rsidR="0078649B">
        <w:t>4</w:t>
      </w:r>
      <w:r w:rsidR="00F740C1" w:rsidRPr="003C2CC1">
        <w:t>).</w:t>
      </w:r>
      <w:bookmarkEnd w:id="27"/>
    </w:p>
    <w:p w14:paraId="7BD66570" w14:textId="7907966C" w:rsidR="00322F8A" w:rsidRPr="003C2CC1" w:rsidRDefault="007F1562" w:rsidP="00A06130">
      <w:bookmarkStart w:id="28" w:name="_Toc13455212"/>
      <w:r w:rsidRPr="003C2CC1">
        <w:t xml:space="preserve">Em se tratando </w:t>
      </w:r>
      <w:r w:rsidR="00423871" w:rsidRPr="003C2CC1">
        <w:t>d</w:t>
      </w:r>
      <w:r w:rsidR="005D4534" w:rsidRPr="003C2CC1">
        <w:t>a construção da</w:t>
      </w:r>
      <w:r w:rsidR="00423871" w:rsidRPr="003C2CC1">
        <w:t xml:space="preserve"> signifi</w:t>
      </w:r>
      <w:r w:rsidR="005D4534" w:rsidRPr="003C2CC1">
        <w:t>cação</w:t>
      </w:r>
      <w:r w:rsidR="00423871" w:rsidRPr="003C2CC1">
        <w:t xml:space="preserve"> de uma mensagem, </w:t>
      </w:r>
      <w:proofErr w:type="spellStart"/>
      <w:r w:rsidR="00322F8A" w:rsidRPr="003C2CC1">
        <w:t>Capurro</w:t>
      </w:r>
      <w:proofErr w:type="spellEnd"/>
      <w:r w:rsidR="00322F8A" w:rsidRPr="003C2CC1">
        <w:t xml:space="preserve"> e </w:t>
      </w:r>
      <w:proofErr w:type="spellStart"/>
      <w:r w:rsidR="00322F8A" w:rsidRPr="003C2CC1">
        <w:t>Hjorland</w:t>
      </w:r>
      <w:proofErr w:type="spellEnd"/>
      <w:r w:rsidR="00F456EF" w:rsidRPr="003C2CC1">
        <w:t xml:space="preserve"> (2007)</w:t>
      </w:r>
      <w:r w:rsidR="00322F8A" w:rsidRPr="003C2CC1">
        <w:t xml:space="preserve"> </w:t>
      </w:r>
      <w:r w:rsidR="007B2C08" w:rsidRPr="003C2CC1">
        <w:t>defendem</w:t>
      </w:r>
      <w:r w:rsidR="008A2007" w:rsidRPr="003C2CC1">
        <w:t xml:space="preserve"> que </w:t>
      </w:r>
      <w:r w:rsidR="00574694" w:rsidRPr="003C2CC1">
        <w:t xml:space="preserve">é </w:t>
      </w:r>
      <w:r w:rsidR="00461606" w:rsidRPr="003C2CC1">
        <w:t>primordial</w:t>
      </w:r>
      <w:r w:rsidR="00554609" w:rsidRPr="003C2CC1">
        <w:t xml:space="preserve"> </w:t>
      </w:r>
      <w:r w:rsidR="00BE5ECA" w:rsidRPr="003C2CC1">
        <w:t>transitar pela</w:t>
      </w:r>
      <w:r w:rsidR="00322F8A" w:rsidRPr="003C2CC1">
        <w:t xml:space="preserve"> interpretação, </w:t>
      </w:r>
      <w:r w:rsidR="003D3A77" w:rsidRPr="003C2CC1">
        <w:t>ou</w:t>
      </w:r>
      <w:r w:rsidR="00DE31C4" w:rsidRPr="003C2CC1">
        <w:t xml:space="preserve"> seja</w:t>
      </w:r>
      <w:r w:rsidR="00322F8A" w:rsidRPr="003C2CC1">
        <w:t xml:space="preserve">, </w:t>
      </w:r>
      <w:r w:rsidR="00574694" w:rsidRPr="003C2CC1">
        <w:t>pel</w:t>
      </w:r>
      <w:r w:rsidR="00322F8A" w:rsidRPr="003C2CC1">
        <w:t xml:space="preserve">a </w:t>
      </w:r>
      <w:r w:rsidR="00DE31C4" w:rsidRPr="003C2CC1">
        <w:t>escolha</w:t>
      </w:r>
      <w:r w:rsidR="00322F8A" w:rsidRPr="003C2CC1">
        <w:t xml:space="preserve"> entre as </w:t>
      </w:r>
      <w:r w:rsidR="00B93EFA" w:rsidRPr="003C2CC1">
        <w:t>variáveis</w:t>
      </w:r>
      <w:r w:rsidR="00322F8A" w:rsidRPr="003C2CC1">
        <w:t xml:space="preserve"> semânticas e pragmáticas da mensagem. </w:t>
      </w:r>
      <w:r w:rsidR="00147E58" w:rsidRPr="003C2CC1">
        <w:t xml:space="preserve">Nesses termos, </w:t>
      </w:r>
      <w:r w:rsidR="004A416F" w:rsidRPr="003C2CC1">
        <w:t xml:space="preserve">os autores </w:t>
      </w:r>
      <w:r w:rsidR="008C1753" w:rsidRPr="003C2CC1">
        <w:t xml:space="preserve">ratificam </w:t>
      </w:r>
      <w:r w:rsidR="00147E58" w:rsidRPr="003C2CC1">
        <w:t>a necessidade de se</w:t>
      </w:r>
      <w:r w:rsidR="00322F8A" w:rsidRPr="003C2CC1">
        <w:t xml:space="preserve"> introduzir a perspectiva do receptor</w:t>
      </w:r>
      <w:r w:rsidR="00F85637" w:rsidRPr="003C2CC1">
        <w:t xml:space="preserve"> na comuni</w:t>
      </w:r>
      <w:r w:rsidR="00180766" w:rsidRPr="003C2CC1">
        <w:t xml:space="preserve">cação, seguindo a linha </w:t>
      </w:r>
      <w:r w:rsidR="00D93A65" w:rsidRPr="003C2CC1">
        <w:t>advogada pelos estudos de transparência</w:t>
      </w:r>
      <w:r w:rsidR="00A943BE" w:rsidRPr="003C2CC1">
        <w:t>,</w:t>
      </w:r>
      <w:r w:rsidR="00322F8A" w:rsidRPr="003C2CC1">
        <w:t xml:space="preserve"> </w:t>
      </w:r>
      <w:r w:rsidR="00A943BE" w:rsidRPr="003C2CC1">
        <w:t>p</w:t>
      </w:r>
      <w:r w:rsidR="00A961A2" w:rsidRPr="003C2CC1">
        <w:t>ois não h</w:t>
      </w:r>
      <w:r w:rsidR="00806793" w:rsidRPr="003C2CC1">
        <w:t>á possibilidade dessa seleção sem a participação do ser humano.</w:t>
      </w:r>
      <w:bookmarkEnd w:id="28"/>
      <w:r w:rsidR="00322F8A" w:rsidRPr="003C2CC1">
        <w:t xml:space="preserve"> </w:t>
      </w:r>
      <w:r w:rsidR="00322F8A" w:rsidRPr="003C2CC1">
        <w:tab/>
      </w:r>
    </w:p>
    <w:p w14:paraId="4D856269" w14:textId="2251ED9D" w:rsidR="00A2492C" w:rsidRPr="003C2CC1" w:rsidRDefault="009162C0" w:rsidP="00A06130">
      <w:bookmarkStart w:id="29" w:name="_Toc13455213"/>
      <w:r w:rsidRPr="003C2CC1">
        <w:t>Em contraponto à visão da TMC, a</w:t>
      </w:r>
      <w:r w:rsidR="00D600C6" w:rsidRPr="003C2CC1">
        <w:t xml:space="preserve"> epistemologia, ramo da filosofia que se ocupa do conhecimento cientifico, atenta-se para o significado, </w:t>
      </w:r>
      <w:r w:rsidR="002A288A" w:rsidRPr="003C2CC1">
        <w:t xml:space="preserve">e </w:t>
      </w:r>
      <w:r w:rsidR="00D600C6" w:rsidRPr="003C2CC1">
        <w:t>não para bipes e sinais.</w:t>
      </w:r>
      <w:r w:rsidR="005A5915" w:rsidRPr="003C2CC1">
        <w:t xml:space="preserve"> Segundo </w:t>
      </w:r>
      <w:proofErr w:type="spellStart"/>
      <w:r w:rsidR="005A5915" w:rsidRPr="003C2CC1">
        <w:t>Gleick</w:t>
      </w:r>
      <w:proofErr w:type="spellEnd"/>
      <w:r w:rsidR="005A5915" w:rsidRPr="003C2CC1">
        <w:t xml:space="preserve"> (2013), </w:t>
      </w:r>
      <w:r w:rsidR="001145D6" w:rsidRPr="003C2CC1">
        <w:t>tão somente</w:t>
      </w:r>
      <w:r w:rsidR="00D600C6" w:rsidRPr="003C2CC1">
        <w:t xml:space="preserve"> um ser humano – </w:t>
      </w:r>
      <w:r w:rsidR="00ED0450" w:rsidRPr="003C2CC1">
        <w:t xml:space="preserve">ou, </w:t>
      </w:r>
      <w:r w:rsidR="008C0720" w:rsidRPr="003C2CC1">
        <w:t xml:space="preserve">de </w:t>
      </w:r>
      <w:r w:rsidR="007D1905" w:rsidRPr="003C2CC1">
        <w:t xml:space="preserve">outra </w:t>
      </w:r>
      <w:r w:rsidR="00ED0450" w:rsidRPr="003C2CC1">
        <w:t>forma</w:t>
      </w:r>
      <w:r w:rsidR="008C0720" w:rsidRPr="003C2CC1">
        <w:t>,</w:t>
      </w:r>
      <w:r w:rsidR="00D600C6" w:rsidRPr="003C2CC1">
        <w:t xml:space="preserve"> um agente cognitivo – para </w:t>
      </w:r>
      <w:r w:rsidR="00D43F2D" w:rsidRPr="003C2CC1">
        <w:t>transformar um sinal</w:t>
      </w:r>
      <w:r w:rsidR="00D600C6" w:rsidRPr="003C2CC1">
        <w:t xml:space="preserve"> em informação. </w:t>
      </w:r>
      <w:r w:rsidR="00432EBC" w:rsidRPr="003C2CC1">
        <w:t xml:space="preserve">Em conformidade com essa </w:t>
      </w:r>
      <w:r w:rsidR="00770C9B" w:rsidRPr="003C2CC1">
        <w:t>argumentação</w:t>
      </w:r>
      <w:r w:rsidR="00432EBC" w:rsidRPr="003C2CC1">
        <w:t>, “deveríamos ter sempre em mente que informação é o que é informativo para uma determinada pessoa. O que é informativo depende das necessidades interpretativas e habilidades do indivíduo”</w:t>
      </w:r>
      <w:r w:rsidR="00E326DE" w:rsidRPr="003C2CC1">
        <w:t xml:space="preserve"> (</w:t>
      </w:r>
      <w:proofErr w:type="spellStart"/>
      <w:r w:rsidR="00E326DE" w:rsidRPr="003C2CC1">
        <w:t>Capurro</w:t>
      </w:r>
      <w:proofErr w:type="spellEnd"/>
      <w:r w:rsidR="00E326DE" w:rsidRPr="003C2CC1">
        <w:t xml:space="preserve"> e </w:t>
      </w:r>
      <w:proofErr w:type="spellStart"/>
      <w:r w:rsidR="00E326DE" w:rsidRPr="003C2CC1">
        <w:t>Hjorland</w:t>
      </w:r>
      <w:proofErr w:type="spellEnd"/>
      <w:r w:rsidR="00E326DE" w:rsidRPr="003C2CC1">
        <w:t>, 2007, p.</w:t>
      </w:r>
      <w:r w:rsidR="00EE27B6" w:rsidRPr="003C2CC1">
        <w:t>154-155)</w:t>
      </w:r>
      <w:r w:rsidR="00432EBC" w:rsidRPr="003C2CC1">
        <w:t>.</w:t>
      </w:r>
      <w:bookmarkEnd w:id="29"/>
    </w:p>
    <w:p w14:paraId="19C41590" w14:textId="298203FE" w:rsidR="00322F8A" w:rsidRDefault="004566C7" w:rsidP="00A06130">
      <w:bookmarkStart w:id="30" w:name="_Toc13455214"/>
      <w:r w:rsidRPr="003C2CC1">
        <w:t>Em contribuição</w:t>
      </w:r>
      <w:r w:rsidR="006975D1" w:rsidRPr="003C2CC1">
        <w:t xml:space="preserve"> </w:t>
      </w:r>
      <w:r w:rsidRPr="003C2CC1">
        <w:t>par</w:t>
      </w:r>
      <w:r w:rsidR="006975D1" w:rsidRPr="003C2CC1">
        <w:t xml:space="preserve">a </w:t>
      </w:r>
      <w:r w:rsidRPr="003C2CC1">
        <w:t xml:space="preserve">a </w:t>
      </w:r>
      <w:r w:rsidR="006975D1" w:rsidRPr="003C2CC1">
        <w:t>questão</w:t>
      </w:r>
      <w:r w:rsidR="00322F8A" w:rsidRPr="003C2CC1">
        <w:t xml:space="preserve">, Tom </w:t>
      </w:r>
      <w:proofErr w:type="spellStart"/>
      <w:r w:rsidR="00322F8A" w:rsidRPr="003C2CC1">
        <w:t>Stonier</w:t>
      </w:r>
      <w:proofErr w:type="spellEnd"/>
      <w:r w:rsidR="00B476AC" w:rsidRPr="003C2CC1">
        <w:t xml:space="preserve"> (1997)</w:t>
      </w:r>
      <w:r w:rsidR="00322F8A" w:rsidRPr="003C2CC1">
        <w:t xml:space="preserve"> distingue informação e significado. Para </w:t>
      </w:r>
      <w:r w:rsidR="00055A15" w:rsidRPr="003C2CC1">
        <w:t>isso</w:t>
      </w:r>
      <w:r w:rsidR="00322F8A" w:rsidRPr="003C2CC1">
        <w:t>, o autor cita as letras de um alfabeto escrito à título de exemplo de informação. Caso não haja uma organização e/ou um tratamento, não há produção de uma mensagem. Dessa forma, a mensagem somente obtém significado se tiver sua informação processada por um receptor.</w:t>
      </w:r>
      <w:r w:rsidR="000A76A6" w:rsidRPr="003C2CC1">
        <w:t xml:space="preserve"> </w:t>
      </w:r>
      <w:r w:rsidR="00D24C02" w:rsidRPr="003C2CC1">
        <w:t>Essa</w:t>
      </w:r>
      <w:r w:rsidR="000A76A6" w:rsidRPr="003C2CC1">
        <w:t xml:space="preserve"> re</w:t>
      </w:r>
      <w:r w:rsidR="00D24C02" w:rsidRPr="003C2CC1">
        <w:t xml:space="preserve">lação </w:t>
      </w:r>
      <w:r w:rsidR="0015536D" w:rsidRPr="003C2CC1">
        <w:t xml:space="preserve">guarda </w:t>
      </w:r>
      <w:r w:rsidR="00D67FAD" w:rsidRPr="003C2CC1">
        <w:t>as mesmas sutilezas</w:t>
      </w:r>
      <w:r w:rsidR="0015536D" w:rsidRPr="003C2CC1">
        <w:t xml:space="preserve"> que</w:t>
      </w:r>
      <w:r w:rsidR="00D24C02" w:rsidRPr="003C2CC1">
        <w:t xml:space="preserve"> </w:t>
      </w:r>
      <w:r w:rsidR="0015536D" w:rsidRPr="003C2CC1">
        <w:t>fo</w:t>
      </w:r>
      <w:r w:rsidR="000417B6" w:rsidRPr="003C2CC1">
        <w:t>ram</w:t>
      </w:r>
      <w:r w:rsidR="0015536D" w:rsidRPr="003C2CC1">
        <w:t xml:space="preserve"> </w:t>
      </w:r>
      <w:r w:rsidR="00D24C02" w:rsidRPr="003C2CC1">
        <w:t>expost</w:t>
      </w:r>
      <w:r w:rsidR="00637FF1" w:rsidRPr="003C2CC1">
        <w:t>as</w:t>
      </w:r>
      <w:r w:rsidR="0015536D" w:rsidRPr="003C2CC1">
        <w:t xml:space="preserve"> sobre </w:t>
      </w:r>
      <w:r w:rsidR="000417B6" w:rsidRPr="003C2CC1">
        <w:t xml:space="preserve">a conexão entre </w:t>
      </w:r>
      <w:r w:rsidR="0015536D" w:rsidRPr="003C2CC1">
        <w:t>abertura e transparência</w:t>
      </w:r>
      <w:r w:rsidR="00EA6DCD" w:rsidRPr="003C2CC1">
        <w:t>.</w:t>
      </w:r>
      <w:bookmarkEnd w:id="30"/>
      <w:r w:rsidR="00D24C02" w:rsidRPr="003C2CC1">
        <w:t xml:space="preserve">  </w:t>
      </w:r>
    </w:p>
    <w:p w14:paraId="7BDFEA55" w14:textId="77777777" w:rsidR="00E763D8" w:rsidRPr="003C2CC1" w:rsidRDefault="00E763D8" w:rsidP="00A06130"/>
    <w:p w14:paraId="40D35A42" w14:textId="4C78A75F" w:rsidR="0056398E" w:rsidRDefault="0056398E" w:rsidP="00586116">
      <w:pPr>
        <w:pStyle w:val="Ttulo3"/>
      </w:pPr>
      <w:bookmarkStart w:id="31" w:name="_Toc16087692"/>
      <w:r w:rsidRPr="003C2CC1">
        <w:t>1.3.3</w:t>
      </w:r>
      <w:r w:rsidR="00E763D8">
        <w:t>.</w:t>
      </w:r>
      <w:r w:rsidRPr="003C2CC1">
        <w:t xml:space="preserve"> </w:t>
      </w:r>
      <w:r w:rsidR="009A62DF" w:rsidRPr="003C2CC1">
        <w:t>I</w:t>
      </w:r>
      <w:r w:rsidRPr="003C2CC1">
        <w:t>nformação como comunicação do conhecimento</w:t>
      </w:r>
      <w:bookmarkEnd w:id="31"/>
    </w:p>
    <w:p w14:paraId="4A54F621" w14:textId="77777777" w:rsidR="00E763D8" w:rsidRPr="00E763D8" w:rsidRDefault="00E763D8" w:rsidP="00E763D8"/>
    <w:p w14:paraId="0A212FCB" w14:textId="1267D2E1" w:rsidR="001358B0" w:rsidRPr="003C2CC1" w:rsidRDefault="00F84C65" w:rsidP="00DF6FB9">
      <w:pPr>
        <w:rPr>
          <w:color w:val="BF8F00" w:themeColor="accent4" w:themeShade="BF"/>
        </w:rPr>
      </w:pPr>
      <w:bookmarkStart w:id="32" w:name="_Toc13455216"/>
      <w:r w:rsidRPr="003C2CC1">
        <w:t xml:space="preserve">Em consonância com a linha argumentativa desta revisão bibliográfica, </w:t>
      </w:r>
      <w:r w:rsidR="00046997" w:rsidRPr="003C2CC1">
        <w:t>o estudo da transparência</w:t>
      </w:r>
      <w:r w:rsidR="007619B2" w:rsidRPr="003C2CC1">
        <w:t xml:space="preserve"> </w:t>
      </w:r>
      <w:r w:rsidR="00A776B8" w:rsidRPr="003C2CC1">
        <w:t>se direciona</w:t>
      </w:r>
      <w:r w:rsidR="000E1039" w:rsidRPr="003C2CC1">
        <w:t xml:space="preserve"> à interpretação</w:t>
      </w:r>
      <w:r w:rsidR="00AC1047" w:rsidRPr="003C2CC1">
        <w:t xml:space="preserve"> </w:t>
      </w:r>
      <w:r w:rsidR="00365ACE" w:rsidRPr="003C2CC1">
        <w:t>e a com</w:t>
      </w:r>
      <w:r w:rsidR="008D4EC7" w:rsidRPr="003C2CC1">
        <w:t xml:space="preserve">preensão da mensagem </w:t>
      </w:r>
      <w:r w:rsidR="00AC1047" w:rsidRPr="003C2CC1">
        <w:t xml:space="preserve">por </w:t>
      </w:r>
      <w:r w:rsidR="008D4EC7" w:rsidRPr="003C2CC1">
        <w:t>parte do</w:t>
      </w:r>
      <w:r w:rsidR="00AC1047" w:rsidRPr="003C2CC1">
        <w:t xml:space="preserve"> receptor</w:t>
      </w:r>
      <w:r w:rsidR="00A56181" w:rsidRPr="003C2CC1">
        <w:t xml:space="preserve">. </w:t>
      </w:r>
      <w:r w:rsidR="00931D40" w:rsidRPr="003C2CC1">
        <w:t>U</w:t>
      </w:r>
      <w:r w:rsidR="00F92FB7" w:rsidRPr="003C2CC1">
        <w:t xml:space="preserve">ma análise </w:t>
      </w:r>
      <w:r w:rsidR="00A14EDC" w:rsidRPr="003C2CC1">
        <w:t>que</w:t>
      </w:r>
      <w:r w:rsidR="000A09AA" w:rsidRPr="003C2CC1">
        <w:t>, agora,</w:t>
      </w:r>
      <w:r w:rsidR="00A14EDC" w:rsidRPr="003C2CC1">
        <w:t xml:space="preserve"> se funde </w:t>
      </w:r>
      <w:r w:rsidR="00370E48" w:rsidRPr="003C2CC1">
        <w:t>às</w:t>
      </w:r>
      <w:r w:rsidR="00020248" w:rsidRPr="003C2CC1">
        <w:t xml:space="preserve"> referências</w:t>
      </w:r>
      <w:r w:rsidR="00A776B8" w:rsidRPr="003C2CC1">
        <w:t xml:space="preserve"> </w:t>
      </w:r>
      <w:r w:rsidR="00E059C5" w:rsidRPr="003C2CC1">
        <w:t>do</w:t>
      </w:r>
      <w:r w:rsidR="006F690D" w:rsidRPr="003C2CC1">
        <w:t>s</w:t>
      </w:r>
      <w:r w:rsidR="00E059C5" w:rsidRPr="003C2CC1">
        <w:t xml:space="preserve"> fenômeno</w:t>
      </w:r>
      <w:r w:rsidR="00B10EC8" w:rsidRPr="003C2CC1">
        <w:t>s da comunicação</w:t>
      </w:r>
      <w:r w:rsidR="009556EB" w:rsidRPr="003C2CC1">
        <w:t xml:space="preserve">, </w:t>
      </w:r>
      <w:r w:rsidR="00DC35C4" w:rsidRPr="003C2CC1">
        <w:t>a exemplo de</w:t>
      </w:r>
      <w:r w:rsidR="009556EB" w:rsidRPr="003C2CC1">
        <w:t xml:space="preserve"> </w:t>
      </w:r>
      <w:r w:rsidR="007B4303" w:rsidRPr="003C2CC1">
        <w:t xml:space="preserve">questões acerca do conceito de informação e </w:t>
      </w:r>
      <w:r w:rsidR="00ED4807" w:rsidRPr="003C2CC1">
        <w:t xml:space="preserve">a </w:t>
      </w:r>
      <w:r w:rsidR="007B4303" w:rsidRPr="003C2CC1">
        <w:t xml:space="preserve">relação </w:t>
      </w:r>
      <w:r w:rsidR="00E71910" w:rsidRPr="003C2CC1">
        <w:t xml:space="preserve">desta </w:t>
      </w:r>
      <w:r w:rsidR="00493936" w:rsidRPr="003C2CC1">
        <w:t xml:space="preserve">com o significado, assim como </w:t>
      </w:r>
      <w:r w:rsidR="009E2C9E" w:rsidRPr="003C2CC1">
        <w:t>a</w:t>
      </w:r>
      <w:r w:rsidR="00493936" w:rsidRPr="003C2CC1">
        <w:t xml:space="preserve"> </w:t>
      </w:r>
      <w:r w:rsidR="00493936" w:rsidRPr="003C2CC1">
        <w:lastRenderedPageBreak/>
        <w:t>condução ao conhecimento</w:t>
      </w:r>
      <w:r w:rsidR="00F067B3" w:rsidRPr="003C2CC1">
        <w:t>.</w:t>
      </w:r>
      <w:r w:rsidR="00A96FD1" w:rsidRPr="003C2CC1">
        <w:t xml:space="preserve"> </w:t>
      </w:r>
      <w:r w:rsidR="00F067B3" w:rsidRPr="003C2CC1">
        <w:t>E</w:t>
      </w:r>
      <w:r w:rsidR="002B6A42" w:rsidRPr="003C2CC1">
        <w:t>ste último</w:t>
      </w:r>
      <w:r w:rsidR="00B33F43" w:rsidRPr="003C2CC1">
        <w:t>, por sinal,</w:t>
      </w:r>
      <w:r w:rsidR="002B6A42" w:rsidRPr="003C2CC1">
        <w:t xml:space="preserve"> </w:t>
      </w:r>
      <w:r w:rsidR="006F3A37" w:rsidRPr="003C2CC1">
        <w:t xml:space="preserve">se revela </w:t>
      </w:r>
      <w:r w:rsidR="00A96FD1" w:rsidRPr="003C2CC1">
        <w:t>essencia</w:t>
      </w:r>
      <w:r w:rsidR="002B6A42" w:rsidRPr="003C2CC1">
        <w:t>l</w:t>
      </w:r>
      <w:r w:rsidR="00A96FD1" w:rsidRPr="003C2CC1">
        <w:t xml:space="preserve"> para que a transparência </w:t>
      </w:r>
      <w:r w:rsidR="00C823C4" w:rsidRPr="003C2CC1">
        <w:t>propicie</w:t>
      </w:r>
      <w:r w:rsidR="00EF2347" w:rsidRPr="003C2CC1">
        <w:t xml:space="preserve"> o pleno exercício da cidadania </w:t>
      </w:r>
      <w:r w:rsidR="001A1AD6" w:rsidRPr="003C2CC1">
        <w:t>à população.</w:t>
      </w:r>
      <w:bookmarkEnd w:id="32"/>
      <w:r w:rsidR="00EF2347" w:rsidRPr="003C2CC1">
        <w:t xml:space="preserve"> </w:t>
      </w:r>
      <w:r w:rsidR="002B6A42" w:rsidRPr="003C2CC1">
        <w:t xml:space="preserve"> </w:t>
      </w:r>
    </w:p>
    <w:p w14:paraId="365F21E7" w14:textId="14C877E7" w:rsidR="00322F8A" w:rsidRPr="003C2CC1" w:rsidRDefault="00713336" w:rsidP="00DF6FB9">
      <w:bookmarkStart w:id="33" w:name="_Toc13455217"/>
      <w:r w:rsidRPr="003C2CC1">
        <w:t xml:space="preserve">Nessa </w:t>
      </w:r>
      <w:r w:rsidR="00B17063" w:rsidRPr="003C2CC1">
        <w:t>conjuntura</w:t>
      </w:r>
      <w:r w:rsidR="007D3238" w:rsidRPr="003C2CC1">
        <w:t xml:space="preserve">, </w:t>
      </w:r>
      <w:proofErr w:type="spellStart"/>
      <w:r w:rsidR="00322F8A" w:rsidRPr="003C2CC1">
        <w:t>Dretske</w:t>
      </w:r>
      <w:proofErr w:type="spellEnd"/>
      <w:r w:rsidR="001B5713" w:rsidRPr="003C2CC1">
        <w:t xml:space="preserve"> (1981)</w:t>
      </w:r>
      <w:r w:rsidR="00322F8A" w:rsidRPr="003C2CC1">
        <w:t xml:space="preserve"> </w:t>
      </w:r>
      <w:r w:rsidR="00EB251B" w:rsidRPr="003C2CC1">
        <w:t>afirma</w:t>
      </w:r>
      <w:r w:rsidR="00322F8A" w:rsidRPr="003C2CC1">
        <w:t xml:space="preserve"> que</w:t>
      </w:r>
      <w:r w:rsidR="007C3565" w:rsidRPr="003C2CC1">
        <w:t>, embora seja uma condição necessária à aquisição do conhecimento,</w:t>
      </w:r>
      <w:r w:rsidR="00322F8A" w:rsidRPr="003C2CC1">
        <w:t xml:space="preserve"> a informação não depende de um processo interpretativo</w:t>
      </w:r>
      <w:r w:rsidR="00434944" w:rsidRPr="003C2CC1">
        <w:t>.</w:t>
      </w:r>
      <w:r w:rsidR="004928E3" w:rsidRPr="003C2CC1">
        <w:t xml:space="preserve"> </w:t>
      </w:r>
      <w:r w:rsidR="006104A9" w:rsidRPr="003C2CC1">
        <w:t>No entanto</w:t>
      </w:r>
      <w:r w:rsidR="004928E3" w:rsidRPr="003C2CC1">
        <w:t xml:space="preserve">, somente </w:t>
      </w:r>
      <w:r w:rsidR="005F0B6B" w:rsidRPr="003C2CC1">
        <w:t>a construção de um significado</w:t>
      </w:r>
      <w:r w:rsidR="00322F8A" w:rsidRPr="003C2CC1">
        <w:t xml:space="preserve"> </w:t>
      </w:r>
      <w:r w:rsidR="005F0B6B" w:rsidRPr="003C2CC1">
        <w:t>pel</w:t>
      </w:r>
      <w:r w:rsidR="00322F8A" w:rsidRPr="003C2CC1">
        <w:t xml:space="preserve">o receptor </w:t>
      </w:r>
      <w:r w:rsidR="00A01720" w:rsidRPr="003C2CC1">
        <w:t>pode lev</w:t>
      </w:r>
      <w:r w:rsidR="00BF0C7E" w:rsidRPr="003C2CC1">
        <w:t>á</w:t>
      </w:r>
      <w:r w:rsidR="00A01720" w:rsidRPr="003C2CC1">
        <w:t>-lo</w:t>
      </w:r>
      <w:r w:rsidR="00322F8A" w:rsidRPr="003C2CC1">
        <w:t xml:space="preserve"> </w:t>
      </w:r>
      <w:r w:rsidR="00A01720" w:rsidRPr="003C2CC1">
        <w:t>a</w:t>
      </w:r>
      <w:r w:rsidR="00322F8A" w:rsidRPr="003C2CC1">
        <w:t>o conhecimento.</w:t>
      </w:r>
      <w:r w:rsidR="00483C5A" w:rsidRPr="003C2CC1">
        <w:t xml:space="preserve"> </w:t>
      </w:r>
      <w:r w:rsidR="00322F8A" w:rsidRPr="003C2CC1">
        <w:t xml:space="preserve">Nesse sentido, </w:t>
      </w:r>
      <w:proofErr w:type="spellStart"/>
      <w:r w:rsidR="00322F8A" w:rsidRPr="003C2CC1">
        <w:t>Capurro</w:t>
      </w:r>
      <w:proofErr w:type="spellEnd"/>
      <w:r w:rsidR="00322F8A" w:rsidRPr="003C2CC1">
        <w:t xml:space="preserve"> e </w:t>
      </w:r>
      <w:proofErr w:type="spellStart"/>
      <w:r w:rsidR="00322F8A" w:rsidRPr="003C2CC1">
        <w:t>Hjorland</w:t>
      </w:r>
      <w:proofErr w:type="spellEnd"/>
      <w:r w:rsidR="00322F8A" w:rsidRPr="003C2CC1">
        <w:t xml:space="preserve"> </w:t>
      </w:r>
      <w:r w:rsidR="00253F38" w:rsidRPr="003C2CC1">
        <w:t xml:space="preserve">(2007) </w:t>
      </w:r>
      <w:r w:rsidR="00322F8A" w:rsidRPr="003C2CC1">
        <w:t>indica</w:t>
      </w:r>
      <w:r w:rsidR="00253F38" w:rsidRPr="003C2CC1">
        <w:t>m</w:t>
      </w:r>
      <w:r w:rsidR="00322F8A" w:rsidRPr="003C2CC1">
        <w:t xml:space="preserve"> a utilização da palavra informação na acepção de comunicação de conhecimento</w:t>
      </w:r>
      <w:r w:rsidR="00D40E0F" w:rsidRPr="003C2CC1">
        <w:t xml:space="preserve">, </w:t>
      </w:r>
      <w:r w:rsidR="001110D1" w:rsidRPr="003C2CC1">
        <w:t xml:space="preserve">ao </w:t>
      </w:r>
      <w:r w:rsidR="00283B32" w:rsidRPr="003C2CC1">
        <w:t>determinar</w:t>
      </w:r>
      <w:r w:rsidR="00FE126C" w:rsidRPr="003C2CC1">
        <w:t xml:space="preserve"> </w:t>
      </w:r>
      <w:r w:rsidR="00DA3FCC" w:rsidRPr="003C2CC1">
        <w:t>requisitos</w:t>
      </w:r>
      <w:r w:rsidR="00E051D5" w:rsidRPr="003C2CC1">
        <w:t xml:space="preserve"> de</w:t>
      </w:r>
      <w:r w:rsidR="00322F8A" w:rsidRPr="003C2CC1">
        <w:t xml:space="preserve"> novidade e relevância</w:t>
      </w:r>
      <w:r w:rsidR="00E051D5" w:rsidRPr="003C2CC1">
        <w:t xml:space="preserve"> na</w:t>
      </w:r>
      <w:r w:rsidR="00322F8A" w:rsidRPr="003C2CC1">
        <w:t xml:space="preserve"> seleção e interpretação dentro de um contexto específico.</w:t>
      </w:r>
      <w:bookmarkEnd w:id="33"/>
    </w:p>
    <w:p w14:paraId="0E65B317" w14:textId="478BB780" w:rsidR="00322F8A" w:rsidRPr="003C2CC1" w:rsidRDefault="00322F8A" w:rsidP="00DF6FB9">
      <w:pPr>
        <w:rPr>
          <w:i/>
        </w:rPr>
      </w:pPr>
      <w:bookmarkStart w:id="34" w:name="_Toc13455218"/>
      <w:r w:rsidRPr="003C2CC1">
        <w:t>P</w:t>
      </w:r>
      <w:r w:rsidR="00AA181F" w:rsidRPr="003C2CC1">
        <w:t>a</w:t>
      </w:r>
      <w:r w:rsidRPr="003C2CC1">
        <w:t>r</w:t>
      </w:r>
      <w:r w:rsidR="00AA181F" w:rsidRPr="003C2CC1">
        <w:t>a</w:t>
      </w:r>
      <w:r w:rsidRPr="003C2CC1">
        <w:t xml:space="preserve"> </w:t>
      </w:r>
      <w:r w:rsidR="0038294D" w:rsidRPr="003C2CC1">
        <w:t>esclarecer</w:t>
      </w:r>
      <w:r w:rsidR="0094664F" w:rsidRPr="003C2CC1">
        <w:t xml:space="preserve"> </w:t>
      </w:r>
      <w:r w:rsidRPr="003C2CC1">
        <w:t xml:space="preserve">esse </w:t>
      </w:r>
      <w:r w:rsidR="0038294D" w:rsidRPr="003C2CC1">
        <w:t>ponto de vista</w:t>
      </w:r>
      <w:r w:rsidRPr="003C2CC1">
        <w:t xml:space="preserve">, </w:t>
      </w:r>
      <w:proofErr w:type="spellStart"/>
      <w:r w:rsidRPr="003C2CC1">
        <w:t>Bougnoux</w:t>
      </w:r>
      <w:proofErr w:type="spellEnd"/>
      <w:r w:rsidR="00DB6D1B" w:rsidRPr="003C2CC1">
        <w:t xml:space="preserve"> (1993</w:t>
      </w:r>
      <w:r w:rsidR="004B13D9" w:rsidRPr="003C2CC1">
        <w:t>,</w:t>
      </w:r>
      <w:r w:rsidR="00DB6D1B" w:rsidRPr="003C2CC1">
        <w:t xml:space="preserve"> 1995)</w:t>
      </w:r>
      <w:r w:rsidRPr="003C2CC1">
        <w:t>,</w:t>
      </w:r>
      <w:r w:rsidR="001F6467">
        <w:t xml:space="preserve"> trazido </w:t>
      </w:r>
      <w:r w:rsidR="00697B00">
        <w:t xml:space="preserve">à luz </w:t>
      </w:r>
      <w:r w:rsidR="001F6467">
        <w:t>por</w:t>
      </w:r>
      <w:r w:rsidR="00DB6D1B" w:rsidRPr="003C2CC1">
        <w:t xml:space="preserve"> </w:t>
      </w:r>
      <w:proofErr w:type="spellStart"/>
      <w:r w:rsidR="00DB6D1B" w:rsidRPr="003C2CC1">
        <w:t>Capurro</w:t>
      </w:r>
      <w:proofErr w:type="spellEnd"/>
      <w:r w:rsidR="00DB6D1B" w:rsidRPr="003C2CC1">
        <w:t xml:space="preserve"> e </w:t>
      </w:r>
      <w:proofErr w:type="spellStart"/>
      <w:r w:rsidR="00DB6D1B" w:rsidRPr="003C2CC1">
        <w:t>Hjorland</w:t>
      </w:r>
      <w:proofErr w:type="spellEnd"/>
      <w:r w:rsidR="00DB6D1B" w:rsidRPr="003C2CC1">
        <w:t xml:space="preserve"> (2007</w:t>
      </w:r>
      <w:r w:rsidR="006A2BD5">
        <w:t xml:space="preserve">, </w:t>
      </w:r>
      <w:r w:rsidR="00F3671E">
        <w:t>p. 173</w:t>
      </w:r>
      <w:r w:rsidR="00DB6D1B" w:rsidRPr="003C2CC1">
        <w:t xml:space="preserve">), </w:t>
      </w:r>
      <w:r w:rsidR="005D1001" w:rsidRPr="003C2CC1">
        <w:t>reitera que a informação se relaciona</w:t>
      </w:r>
      <w:r w:rsidR="00454B13" w:rsidRPr="003C2CC1">
        <w:t xml:space="preserve"> com o novo e com o imprevisto. </w:t>
      </w:r>
      <w:r w:rsidR="000C2691" w:rsidRPr="003C2CC1">
        <w:t>Por outro lado, d</w:t>
      </w:r>
      <w:r w:rsidR="00454B13" w:rsidRPr="003C2CC1">
        <w:t>e modo di</w:t>
      </w:r>
      <w:r w:rsidR="001E0E08" w:rsidRPr="003C2CC1">
        <w:t>stinto</w:t>
      </w:r>
      <w:r w:rsidR="00454B13" w:rsidRPr="003C2CC1">
        <w:t>, a comunicação</w:t>
      </w:r>
      <w:r w:rsidR="00226ABC" w:rsidRPr="003C2CC1">
        <w:t xml:space="preserve"> se atenta à previsibilidade e à redundância</w:t>
      </w:r>
      <w:r w:rsidR="00F56D48" w:rsidRPr="003C2CC1">
        <w:t xml:space="preserve">. </w:t>
      </w:r>
      <w:r w:rsidR="004C54DD" w:rsidRPr="003C2CC1">
        <w:t>Em vista d</w:t>
      </w:r>
      <w:r w:rsidR="003C5FEC" w:rsidRPr="003C2CC1">
        <w:t>essa abordagem</w:t>
      </w:r>
      <w:r w:rsidR="00F56D48" w:rsidRPr="003C2CC1">
        <w:t>,</w:t>
      </w:r>
      <w:r w:rsidR="00377D6B" w:rsidRPr="003C2CC1">
        <w:t xml:space="preserve"> </w:t>
      </w:r>
      <w:r w:rsidR="004C54DD" w:rsidRPr="003C2CC1">
        <w:t xml:space="preserve">nota-se que </w:t>
      </w:r>
      <w:r w:rsidR="00377D6B" w:rsidRPr="003C2CC1">
        <w:t xml:space="preserve">não há informação </w:t>
      </w:r>
      <w:r w:rsidR="0088755E" w:rsidRPr="003C2CC1">
        <w:t xml:space="preserve">em seu estado bruto, afinal, </w:t>
      </w:r>
      <w:r w:rsidR="0002714D" w:rsidRPr="003C2CC1">
        <w:t xml:space="preserve">sempre haverá um meio </w:t>
      </w:r>
      <w:r w:rsidR="00F666C0" w:rsidRPr="003C2CC1">
        <w:t xml:space="preserve">para que ela possa ser comunicada. E </w:t>
      </w:r>
      <w:r w:rsidR="001F22DF" w:rsidRPr="003C2CC1">
        <w:t>a consequência disso é que toda informação carrega algum tipo de redundância ou ruído</w:t>
      </w:r>
      <w:r w:rsidR="000935BB" w:rsidRPr="003C2CC1">
        <w:t>.</w:t>
      </w:r>
      <w:r w:rsidR="001F22DF" w:rsidRPr="003C2CC1">
        <w:t xml:space="preserve"> </w:t>
      </w:r>
      <w:r w:rsidR="000935BB" w:rsidRPr="003C2CC1">
        <w:t>P</w:t>
      </w:r>
      <w:r w:rsidR="006E66A7" w:rsidRPr="003C2CC1">
        <w:t>or essa razão</w:t>
      </w:r>
      <w:r w:rsidR="000935BB" w:rsidRPr="003C2CC1">
        <w:t>,</w:t>
      </w:r>
      <w:r w:rsidR="006E66A7" w:rsidRPr="003C2CC1">
        <w:t xml:space="preserve"> </w:t>
      </w:r>
      <w:r w:rsidR="00433D64" w:rsidRPr="003C2CC1">
        <w:t xml:space="preserve">informar (aos outros ou a si mesmo) </w:t>
      </w:r>
      <w:r w:rsidR="00F46BCC" w:rsidRPr="003C2CC1">
        <w:t>tem o mesmo sentido de selecionar e avaliar.</w:t>
      </w:r>
      <w:bookmarkEnd w:id="34"/>
    </w:p>
    <w:p w14:paraId="4753B973" w14:textId="71CCE8BF" w:rsidR="00B97567" w:rsidRPr="003C2CC1" w:rsidRDefault="00341EE9" w:rsidP="00DF6FB9">
      <w:bookmarkStart w:id="35" w:name="_Toc13455219"/>
      <w:r w:rsidRPr="003C2CC1">
        <w:t>Com o intuito de</w:t>
      </w:r>
      <w:r w:rsidR="00227909" w:rsidRPr="003C2CC1">
        <w:t xml:space="preserve"> resolver</w:t>
      </w:r>
      <w:r w:rsidR="00387BB4" w:rsidRPr="003C2CC1">
        <w:t xml:space="preserve"> essa separação</w:t>
      </w:r>
      <w:r w:rsidR="00943299" w:rsidRPr="003C2CC1">
        <w:t>,</w:t>
      </w:r>
      <w:r w:rsidR="00387BB4" w:rsidRPr="003C2CC1">
        <w:t xml:space="preserve"> </w:t>
      </w:r>
      <w:r w:rsidR="00CE5997" w:rsidRPr="003C2CC1">
        <w:t>Cohn (2001)</w:t>
      </w:r>
      <w:r w:rsidR="00FD6FAB" w:rsidRPr="003C2CC1">
        <w:t xml:space="preserve"> </w:t>
      </w:r>
      <w:r w:rsidR="0055193C" w:rsidRPr="003C2CC1">
        <w:t xml:space="preserve">propõe a ideia de que a comunicação </w:t>
      </w:r>
      <w:r w:rsidR="00A25FFB" w:rsidRPr="003C2CC1">
        <w:t>se posiciona</w:t>
      </w:r>
      <w:r w:rsidR="0055193C" w:rsidRPr="003C2CC1">
        <w:t xml:space="preserve"> </w:t>
      </w:r>
      <w:r w:rsidR="00A25FFB" w:rsidRPr="003C2CC1">
        <w:t>junto</w:t>
      </w:r>
      <w:r w:rsidR="0055193C" w:rsidRPr="003C2CC1">
        <w:t xml:space="preserve"> </w:t>
      </w:r>
      <w:r w:rsidR="00827E54" w:rsidRPr="003C2CC1">
        <w:t xml:space="preserve">à circulação, à transmissão de </w:t>
      </w:r>
      <w:r w:rsidR="00B27A42" w:rsidRPr="003C2CC1">
        <w:t>conteúdo</w:t>
      </w:r>
      <w:r w:rsidR="00467E6D" w:rsidRPr="003C2CC1">
        <w:t>.</w:t>
      </w:r>
      <w:r w:rsidR="00B27A42" w:rsidRPr="003C2CC1">
        <w:t xml:space="preserve"> </w:t>
      </w:r>
      <w:r w:rsidR="00181D97" w:rsidRPr="003C2CC1">
        <w:t xml:space="preserve">Já </w:t>
      </w:r>
      <w:r w:rsidR="00993CA6" w:rsidRPr="003C2CC1">
        <w:t>a informação</w:t>
      </w:r>
      <w:r w:rsidR="00181D97" w:rsidRPr="003C2CC1">
        <w:t>, em plano distinto,</w:t>
      </w:r>
      <w:r w:rsidR="00993CA6" w:rsidRPr="003C2CC1">
        <w:t xml:space="preserve"> </w:t>
      </w:r>
      <w:r w:rsidR="00D60918" w:rsidRPr="003C2CC1">
        <w:t xml:space="preserve">trata da maneira como esse conteúdo </w:t>
      </w:r>
      <w:r w:rsidR="00A05201" w:rsidRPr="003C2CC1">
        <w:t>entra na comunicação</w:t>
      </w:r>
      <w:r w:rsidR="0001002D" w:rsidRPr="003C2CC1">
        <w:t xml:space="preserve">, isto é, </w:t>
      </w:r>
      <w:r w:rsidR="00C34094" w:rsidRPr="003C2CC1">
        <w:t xml:space="preserve">trata </w:t>
      </w:r>
      <w:r w:rsidR="0063537E" w:rsidRPr="003C2CC1">
        <w:t>da seleção</w:t>
      </w:r>
      <w:r w:rsidR="00E31366" w:rsidRPr="003C2CC1">
        <w:t xml:space="preserve"> desse insumo</w:t>
      </w:r>
      <w:r w:rsidR="0063537E" w:rsidRPr="003C2CC1">
        <w:t>.</w:t>
      </w:r>
      <w:r w:rsidR="00BB4BF9" w:rsidRPr="003C2CC1">
        <w:t xml:space="preserve"> </w:t>
      </w:r>
      <w:r w:rsidR="00BB4356" w:rsidRPr="003C2CC1">
        <w:t xml:space="preserve">Pelo fato de </w:t>
      </w:r>
      <w:r w:rsidR="00496BFB" w:rsidRPr="003C2CC1">
        <w:t xml:space="preserve">situar a informação na esfera </w:t>
      </w:r>
      <w:r w:rsidR="00FE0A66" w:rsidRPr="003C2CC1">
        <w:t>de elaboração de conteúdo</w:t>
      </w:r>
      <w:r w:rsidR="008D1361" w:rsidRPr="003C2CC1">
        <w:t xml:space="preserve"> – e não na circulação –</w:t>
      </w:r>
      <w:r w:rsidR="00C16641" w:rsidRPr="003C2CC1">
        <w:t xml:space="preserve">, </w:t>
      </w:r>
      <w:r w:rsidR="00E44D67" w:rsidRPr="003C2CC1">
        <w:t xml:space="preserve">depreende-se que a informação </w:t>
      </w:r>
      <w:r w:rsidR="004A1D39" w:rsidRPr="003C2CC1">
        <w:t>advém</w:t>
      </w:r>
      <w:r w:rsidR="005E0F27" w:rsidRPr="003C2CC1">
        <w:t xml:space="preserve"> d</w:t>
      </w:r>
      <w:r w:rsidR="009157A9" w:rsidRPr="003C2CC1">
        <w:t>e uma</w:t>
      </w:r>
      <w:r w:rsidR="005E0F27" w:rsidRPr="003C2CC1">
        <w:t xml:space="preserve"> ação humana</w:t>
      </w:r>
      <w:r w:rsidR="00D000A3" w:rsidRPr="003C2CC1">
        <w:t>.</w:t>
      </w:r>
      <w:bookmarkEnd w:id="35"/>
    </w:p>
    <w:p w14:paraId="6D361FD0" w14:textId="06E62C47" w:rsidR="00322F8A" w:rsidRPr="003C2CC1" w:rsidRDefault="007B6992" w:rsidP="00DF6FB9">
      <w:pPr>
        <w:rPr>
          <w:i/>
        </w:rPr>
      </w:pPr>
      <w:bookmarkStart w:id="36" w:name="_Toc13455220"/>
      <w:r w:rsidRPr="003C2CC1">
        <w:t>Fica evidente a</w:t>
      </w:r>
      <w:r w:rsidR="00322F8A" w:rsidRPr="003C2CC1">
        <w:t xml:space="preserve"> inclusão do aspecto cognitivo ao conceito de informação</w:t>
      </w:r>
      <w:r w:rsidR="004B0558" w:rsidRPr="003C2CC1">
        <w:t>, o que</w:t>
      </w:r>
      <w:r w:rsidR="00322F8A" w:rsidRPr="003C2CC1">
        <w:t xml:space="preserve"> implica, necessariamente, estudos sobre a recepção da mensagem transmitida</w:t>
      </w:r>
      <w:r w:rsidR="00715ABF" w:rsidRPr="003C2CC1">
        <w:t>.</w:t>
      </w:r>
      <w:r w:rsidR="00322F8A" w:rsidRPr="003C2CC1">
        <w:t xml:space="preserve"> </w:t>
      </w:r>
      <w:proofErr w:type="spellStart"/>
      <w:r w:rsidR="00322F8A" w:rsidRPr="003C2CC1">
        <w:t>Capurro</w:t>
      </w:r>
      <w:proofErr w:type="spellEnd"/>
      <w:r w:rsidR="00322F8A" w:rsidRPr="003C2CC1">
        <w:t xml:space="preserve"> e </w:t>
      </w:r>
      <w:proofErr w:type="spellStart"/>
      <w:r w:rsidR="00322F8A" w:rsidRPr="003C2CC1">
        <w:t>Hjorland</w:t>
      </w:r>
      <w:proofErr w:type="spellEnd"/>
      <w:r w:rsidR="00322F8A" w:rsidRPr="003C2CC1">
        <w:t xml:space="preserve"> </w:t>
      </w:r>
      <w:r w:rsidR="00130CA2" w:rsidRPr="003C2CC1">
        <w:t>(2007)</w:t>
      </w:r>
      <w:r w:rsidR="00715ABF" w:rsidRPr="003C2CC1">
        <w:t>, inclusive,</w:t>
      </w:r>
      <w:r w:rsidR="00130CA2" w:rsidRPr="003C2CC1">
        <w:t xml:space="preserve"> </w:t>
      </w:r>
      <w:r w:rsidR="00322F8A" w:rsidRPr="003C2CC1">
        <w:t>afirma</w:t>
      </w:r>
      <w:r w:rsidR="00715ABF" w:rsidRPr="003C2CC1">
        <w:t>m</w:t>
      </w:r>
      <w:r w:rsidR="00322F8A" w:rsidRPr="003C2CC1">
        <w:t xml:space="preserve"> que </w:t>
      </w:r>
      <w:r w:rsidR="00415D19" w:rsidRPr="003C2CC1">
        <w:t>a</w:t>
      </w:r>
      <w:r w:rsidR="00322F8A" w:rsidRPr="003C2CC1">
        <w:t xml:space="preserve"> </w:t>
      </w:r>
      <w:r w:rsidR="00AC3BE0" w:rsidRPr="003C2CC1">
        <w:t xml:space="preserve">definição do que é </w:t>
      </w:r>
      <w:r w:rsidR="00322F8A" w:rsidRPr="003C2CC1">
        <w:t xml:space="preserve">informação </w:t>
      </w:r>
      <w:r w:rsidR="002A7733" w:rsidRPr="003C2CC1">
        <w:t xml:space="preserve">não pode </w:t>
      </w:r>
      <w:r w:rsidR="001B3820" w:rsidRPr="003C2CC1">
        <w:t>ser</w:t>
      </w:r>
      <w:r w:rsidR="00322F8A" w:rsidRPr="003C2CC1">
        <w:t xml:space="preserve"> </w:t>
      </w:r>
      <w:r w:rsidR="004C0CA3" w:rsidRPr="003C2CC1">
        <w:t>apartada</w:t>
      </w:r>
      <w:r w:rsidR="00DE7A2B" w:rsidRPr="003C2CC1">
        <w:t xml:space="preserve"> </w:t>
      </w:r>
      <w:r w:rsidR="00322F8A" w:rsidRPr="003C2CC1">
        <w:t xml:space="preserve">da questão a ser respondida. Isso porque um mesmo objeto pode conter informações distintas a depender de quem o está examinando, </w:t>
      </w:r>
      <w:r w:rsidR="006E0ADE" w:rsidRPr="003C2CC1">
        <w:t>a depender d</w:t>
      </w:r>
      <w:r w:rsidR="00B711CD" w:rsidRPr="003C2CC1">
        <w:t>os anseios</w:t>
      </w:r>
      <w:r w:rsidR="004C0CA3" w:rsidRPr="003C2CC1">
        <w:t xml:space="preserve"> </w:t>
      </w:r>
      <w:r w:rsidR="00CD6BF1" w:rsidRPr="003C2CC1">
        <w:t>dos receptores.</w:t>
      </w:r>
      <w:bookmarkEnd w:id="36"/>
      <w:r w:rsidR="00CD6BF1" w:rsidRPr="003C2CC1">
        <w:t xml:space="preserve"> </w:t>
      </w:r>
    </w:p>
    <w:p w14:paraId="5261EC78" w14:textId="4E82F5FE" w:rsidR="00322F8A" w:rsidRPr="003C2CC1" w:rsidRDefault="00322F8A" w:rsidP="00DF6FB9">
      <w:bookmarkStart w:id="37" w:name="_Toc13455221"/>
      <w:r w:rsidRPr="003C2CC1">
        <w:t xml:space="preserve">Com o advento de que a significação da informação ocorre em relação ao destinatário da mensagem, </w:t>
      </w:r>
      <w:proofErr w:type="spellStart"/>
      <w:r w:rsidRPr="003C2CC1">
        <w:t>Buckland</w:t>
      </w:r>
      <w:proofErr w:type="spellEnd"/>
      <w:r w:rsidR="007A2478" w:rsidRPr="003C2CC1">
        <w:t xml:space="preserve"> (1991</w:t>
      </w:r>
      <w:r w:rsidR="00A04BA1" w:rsidRPr="003C2CC1">
        <w:t>, p.</w:t>
      </w:r>
      <w:r w:rsidR="00B72C07" w:rsidRPr="003C2CC1">
        <w:t>3</w:t>
      </w:r>
      <w:r w:rsidR="007A2478" w:rsidRPr="003C2CC1">
        <w:t>)</w:t>
      </w:r>
      <w:r w:rsidRPr="003C2CC1">
        <w:t xml:space="preserve"> identifica e detalha </w:t>
      </w:r>
      <w:r w:rsidR="00CA786B" w:rsidRPr="003C2CC1">
        <w:t xml:space="preserve">o uso </w:t>
      </w:r>
      <w:r w:rsidRPr="003C2CC1">
        <w:t xml:space="preserve">da </w:t>
      </w:r>
      <w:r w:rsidR="009A2F24" w:rsidRPr="003C2CC1">
        <w:t>“</w:t>
      </w:r>
      <w:r w:rsidRPr="003C2CC1">
        <w:t>informação</w:t>
      </w:r>
      <w:r w:rsidR="00CA786B" w:rsidRPr="003C2CC1">
        <w:t>-como-conhecimento</w:t>
      </w:r>
      <w:r w:rsidR="009A2F24" w:rsidRPr="003C2CC1">
        <w:t>”</w:t>
      </w:r>
      <w:r w:rsidR="006A322B" w:rsidRPr="003C2CC1">
        <w:t xml:space="preserve">, no sentido do </w:t>
      </w:r>
      <w:r w:rsidR="00EA2F7E" w:rsidRPr="003C2CC1">
        <w:t>conhecimento comunicado acerca de um fato, um assunto ou um evento particular</w:t>
      </w:r>
      <w:r w:rsidR="00AD5DC4" w:rsidRPr="003C2CC1">
        <w:t>. Algo que reduz incerteza</w:t>
      </w:r>
      <w:r w:rsidR="00415036" w:rsidRPr="003C2CC1">
        <w:t>, tendo em vista que algumas vezes informação aumenta</w:t>
      </w:r>
      <w:r w:rsidR="00BC3E50" w:rsidRPr="003C2CC1">
        <w:t xml:space="preserve"> a dúvida.</w:t>
      </w:r>
      <w:bookmarkEnd w:id="37"/>
    </w:p>
    <w:p w14:paraId="19B3827A" w14:textId="733787CC" w:rsidR="00322F8A" w:rsidRPr="003C2CC1" w:rsidRDefault="00322F8A" w:rsidP="00DF6FB9">
      <w:bookmarkStart w:id="38" w:name="_Toc13455222"/>
      <w:r w:rsidRPr="003C2CC1">
        <w:t>A característica-chave do conhecimento e, portanto, da informação-como-conhecimento é a intangibilidade</w:t>
      </w:r>
      <w:r w:rsidR="00F64E5A" w:rsidRPr="003C2CC1">
        <w:t>, pois</w:t>
      </w:r>
      <w:r w:rsidRPr="003C2CC1">
        <w:t xml:space="preserve"> “</w:t>
      </w:r>
      <w:r w:rsidR="00F64E5A" w:rsidRPr="003C2CC1">
        <w:t>n</w:t>
      </w:r>
      <w:r w:rsidRPr="003C2CC1">
        <w:t>inguém pode tocar ou mensurar em qualquer direção. Conhecimento, crenças e opiniões são pessoais, subjetivas e conceituais”</w:t>
      </w:r>
      <w:r w:rsidR="00DB1C37" w:rsidRPr="003C2CC1">
        <w:t xml:space="preserve"> (</w:t>
      </w:r>
      <w:proofErr w:type="spellStart"/>
      <w:r w:rsidR="00DB1C37" w:rsidRPr="003C2CC1">
        <w:t>B</w:t>
      </w:r>
      <w:r w:rsidR="00F0142B">
        <w:t>uckland</w:t>
      </w:r>
      <w:proofErr w:type="spellEnd"/>
      <w:r w:rsidR="00DB1C37" w:rsidRPr="003C2CC1">
        <w:t>, 1991, p.4)</w:t>
      </w:r>
      <w:r w:rsidRPr="003C2CC1">
        <w:t xml:space="preserve">. </w:t>
      </w:r>
      <w:r w:rsidR="00E0333D" w:rsidRPr="003C2CC1">
        <w:lastRenderedPageBreak/>
        <w:t xml:space="preserve">Em que pese a informação ser </w:t>
      </w:r>
      <w:r w:rsidR="000D043F" w:rsidRPr="003C2CC1">
        <w:t>um conceito subjetivo, o</w:t>
      </w:r>
      <w:r w:rsidRPr="003C2CC1">
        <w:t xml:space="preserve"> enfoque da análise não ocorre, </w:t>
      </w:r>
      <w:r w:rsidR="009C2E67" w:rsidRPr="003C2CC1">
        <w:t>entretanto</w:t>
      </w:r>
      <w:r w:rsidRPr="003C2CC1">
        <w:t xml:space="preserve">, em um sentido individual, pois seria inviável mapear todos </w:t>
      </w:r>
      <w:r w:rsidR="003E41B3" w:rsidRPr="003C2CC1">
        <w:t>a</w:t>
      </w:r>
      <w:r w:rsidRPr="003C2CC1">
        <w:t xml:space="preserve">s possíveis </w:t>
      </w:r>
      <w:r w:rsidR="003E41B3" w:rsidRPr="003C2CC1">
        <w:t>definições</w:t>
      </w:r>
      <w:r w:rsidRPr="003C2CC1">
        <w:t xml:space="preserve"> de informação.</w:t>
      </w:r>
      <w:bookmarkEnd w:id="38"/>
    </w:p>
    <w:p w14:paraId="16A14E3A" w14:textId="3E7FAC30" w:rsidR="00322F8A" w:rsidRPr="003C2CC1" w:rsidRDefault="00C80996" w:rsidP="00DF6FB9">
      <w:bookmarkStart w:id="39" w:name="_Toc13455223"/>
      <w:r w:rsidRPr="003C2CC1">
        <w:t xml:space="preserve">Tendo em vista </w:t>
      </w:r>
      <w:r w:rsidR="00893D23" w:rsidRPr="003C2CC1">
        <w:t>ess</w:t>
      </w:r>
      <w:r w:rsidR="00390865" w:rsidRPr="003C2CC1">
        <w:t>a</w:t>
      </w:r>
      <w:r w:rsidR="00454CCA" w:rsidRPr="003C2CC1">
        <w:t xml:space="preserve"> intangibilidade</w:t>
      </w:r>
      <w:r w:rsidR="009C2E67" w:rsidRPr="003C2CC1">
        <w:t xml:space="preserve">, </w:t>
      </w:r>
      <w:proofErr w:type="spellStart"/>
      <w:r w:rsidR="00322F8A" w:rsidRPr="003C2CC1">
        <w:t>Capurro</w:t>
      </w:r>
      <w:proofErr w:type="spellEnd"/>
      <w:r w:rsidR="00322F8A" w:rsidRPr="003C2CC1">
        <w:t xml:space="preserve"> e </w:t>
      </w:r>
      <w:proofErr w:type="spellStart"/>
      <w:r w:rsidR="00322F8A" w:rsidRPr="003C2CC1">
        <w:t>Hjorland</w:t>
      </w:r>
      <w:proofErr w:type="spellEnd"/>
      <w:r w:rsidR="001D6E9D" w:rsidRPr="003C2CC1">
        <w:t xml:space="preserve"> (2007)</w:t>
      </w:r>
      <w:r w:rsidR="00322F8A" w:rsidRPr="003C2CC1">
        <w:t xml:space="preserve"> </w:t>
      </w:r>
      <w:r w:rsidR="00C707DC" w:rsidRPr="003C2CC1">
        <w:t>defendem</w:t>
      </w:r>
      <w:r w:rsidR="00322F8A" w:rsidRPr="003C2CC1">
        <w:t xml:space="preserve"> que</w:t>
      </w:r>
      <w:r w:rsidR="00815321" w:rsidRPr="003C2CC1">
        <w:t xml:space="preserve"> a informação </w:t>
      </w:r>
      <w:r w:rsidR="004B78B9" w:rsidRPr="003C2CC1">
        <w:t xml:space="preserve">pode </w:t>
      </w:r>
      <w:r w:rsidR="00D64C3A" w:rsidRPr="003C2CC1">
        <w:t>ser entendida</w:t>
      </w:r>
      <w:r w:rsidR="00623A46" w:rsidRPr="003C2CC1">
        <w:t xml:space="preserve"> </w:t>
      </w:r>
      <w:r w:rsidR="00F04E58" w:rsidRPr="003C2CC1">
        <w:t>a partir d</w:t>
      </w:r>
      <w:r w:rsidR="00DC6D59" w:rsidRPr="003C2CC1">
        <w:t>a</w:t>
      </w:r>
      <w:r w:rsidR="00354DE4" w:rsidRPr="003C2CC1">
        <w:t>s</w:t>
      </w:r>
      <w:r w:rsidR="00DC6D59" w:rsidRPr="003C2CC1">
        <w:t xml:space="preserve"> </w:t>
      </w:r>
      <w:r w:rsidR="00354DE4" w:rsidRPr="003C2CC1">
        <w:t>circunstâncias</w:t>
      </w:r>
      <w:r w:rsidR="000F03A4" w:rsidRPr="003C2CC1">
        <w:t xml:space="preserve"> </w:t>
      </w:r>
      <w:r w:rsidR="00ED5573" w:rsidRPr="003C2CC1">
        <w:t>socioculturais</w:t>
      </w:r>
      <w:r w:rsidR="003E3592" w:rsidRPr="003C2CC1">
        <w:t>.</w:t>
      </w:r>
      <w:r w:rsidR="00893D23" w:rsidRPr="003C2CC1">
        <w:t xml:space="preserve"> </w:t>
      </w:r>
      <w:r w:rsidR="003E3592" w:rsidRPr="003C2CC1">
        <w:t>U</w:t>
      </w:r>
      <w:r w:rsidR="00153D3C" w:rsidRPr="003C2CC1">
        <w:t xml:space="preserve">m </w:t>
      </w:r>
      <w:r w:rsidR="008751AF" w:rsidRPr="003C2CC1">
        <w:t>melhor</w:t>
      </w:r>
      <w:r w:rsidR="00153D3C" w:rsidRPr="003C2CC1">
        <w:t xml:space="preserve"> caminho</w:t>
      </w:r>
      <w:r w:rsidR="003E3592" w:rsidRPr="003C2CC1">
        <w:t xml:space="preserve"> para descobrir o que é informativo, portanto,</w:t>
      </w:r>
      <w:r w:rsidR="008751AF" w:rsidRPr="003C2CC1">
        <w:t xml:space="preserve"> seria situar </w:t>
      </w:r>
      <w:r w:rsidR="0003705F" w:rsidRPr="003C2CC1">
        <w:t xml:space="preserve">os indivíduos dentro de um contexto </w:t>
      </w:r>
      <w:r w:rsidR="006703D8" w:rsidRPr="003C2CC1">
        <w:t xml:space="preserve">social e de </w:t>
      </w:r>
      <w:r w:rsidR="00ED0F29" w:rsidRPr="003C2CC1">
        <w:t>patamar</w:t>
      </w:r>
      <w:r w:rsidR="002C26F7" w:rsidRPr="003C2CC1">
        <w:t xml:space="preserve"> de conhecimento</w:t>
      </w:r>
      <w:r w:rsidR="007B3F73" w:rsidRPr="003C2CC1">
        <w:t xml:space="preserve">, </w:t>
      </w:r>
      <w:r w:rsidR="007D6DCB" w:rsidRPr="003C2CC1">
        <w:t>visto que</w:t>
      </w:r>
      <w:r w:rsidR="007B3F73" w:rsidRPr="003C2CC1">
        <w:t xml:space="preserve"> </w:t>
      </w:r>
      <w:r w:rsidR="00322F8A" w:rsidRPr="003C2CC1">
        <w:t xml:space="preserve">as pessoas têm </w:t>
      </w:r>
      <w:r w:rsidR="005A27D3" w:rsidRPr="003C2CC1">
        <w:t>níveis de escolaridade distintos</w:t>
      </w:r>
      <w:r w:rsidR="00322F8A" w:rsidRPr="003C2CC1">
        <w:t xml:space="preserve"> e </w:t>
      </w:r>
      <w:r w:rsidR="00A0332E" w:rsidRPr="003C2CC1">
        <w:t>ocupam</w:t>
      </w:r>
      <w:r w:rsidR="00A1504B" w:rsidRPr="003C2CC1">
        <w:t xml:space="preserve"> diferentes</w:t>
      </w:r>
      <w:r w:rsidR="00322F8A" w:rsidRPr="003C2CC1">
        <w:t xml:space="preserve"> </w:t>
      </w:r>
      <w:r w:rsidR="00E6346A" w:rsidRPr="003C2CC1">
        <w:t xml:space="preserve">papéis </w:t>
      </w:r>
      <w:r w:rsidR="00ED5573" w:rsidRPr="003C2CC1">
        <w:t>socioeconômicos</w:t>
      </w:r>
      <w:r w:rsidR="00E6346A" w:rsidRPr="003C2CC1">
        <w:t xml:space="preserve"> </w:t>
      </w:r>
      <w:r w:rsidR="00322F8A" w:rsidRPr="003C2CC1">
        <w:t>n</w:t>
      </w:r>
      <w:r w:rsidR="008D70E4" w:rsidRPr="003C2CC1">
        <w:t>a comunidade</w:t>
      </w:r>
      <w:r w:rsidR="00322F8A" w:rsidRPr="003C2CC1">
        <w:t>.</w:t>
      </w:r>
      <w:bookmarkEnd w:id="39"/>
    </w:p>
    <w:p w14:paraId="4542BA9F" w14:textId="698D53E4" w:rsidR="00322F8A" w:rsidRPr="003C2CC1" w:rsidRDefault="00322F8A" w:rsidP="00DF6FB9">
      <w:bookmarkStart w:id="40" w:name="_Toc13455224"/>
      <w:r w:rsidRPr="003C2CC1">
        <w:t xml:space="preserve">Percebe-se, portanto, que a informação deveria, sempre que possível, em prol da delimitação da incerteza, se transmutar e se caracterizar à feição dos diferentes domínios de conhecimento. </w:t>
      </w:r>
      <w:r w:rsidR="000C793A" w:rsidRPr="003C2CC1">
        <w:t>Todavia,</w:t>
      </w:r>
      <w:r w:rsidR="002C2B1B" w:rsidRPr="003C2CC1">
        <w:t xml:space="preserve"> </w:t>
      </w:r>
      <w:r w:rsidR="00212B4C" w:rsidRPr="003C2CC1">
        <w:t xml:space="preserve">é preciso alertar que, </w:t>
      </w:r>
      <w:r w:rsidR="002C2B1B" w:rsidRPr="003C2CC1">
        <w:t>enquanto</w:t>
      </w:r>
      <w:r w:rsidR="000B5357" w:rsidRPr="003C2CC1">
        <w:t xml:space="preserve"> </w:t>
      </w:r>
      <w:r w:rsidR="007C1166" w:rsidRPr="003C2CC1">
        <w:t>alguns desses</w:t>
      </w:r>
      <w:r w:rsidR="001F77D1" w:rsidRPr="003C2CC1">
        <w:t xml:space="preserve"> domínios </w:t>
      </w:r>
      <w:r w:rsidR="008F2984" w:rsidRPr="003C2CC1">
        <w:t xml:space="preserve">apresentam </w:t>
      </w:r>
      <w:r w:rsidR="00C9336C" w:rsidRPr="003C2CC1">
        <w:t>uma harmonia</w:t>
      </w:r>
      <w:r w:rsidR="00A067A4" w:rsidRPr="003C2CC1">
        <w:t>, um maior consenso</w:t>
      </w:r>
      <w:r w:rsidR="00C9336C" w:rsidRPr="003C2CC1">
        <w:t xml:space="preserve"> </w:t>
      </w:r>
      <w:r w:rsidR="009C0F1A" w:rsidRPr="003C2CC1">
        <w:t xml:space="preserve">entre a </w:t>
      </w:r>
      <w:r w:rsidR="00D92930" w:rsidRPr="003C2CC1">
        <w:t>coletiv</w:t>
      </w:r>
      <w:r w:rsidR="009C0F1A" w:rsidRPr="003C2CC1">
        <w:t>idade</w:t>
      </w:r>
      <w:r w:rsidR="0015534A" w:rsidRPr="003C2CC1">
        <w:t>,</w:t>
      </w:r>
      <w:r w:rsidR="009C0F1A" w:rsidRPr="003C2CC1">
        <w:t xml:space="preserve"> </w:t>
      </w:r>
      <w:r w:rsidR="0015534A" w:rsidRPr="003C2CC1">
        <w:t>o</w:t>
      </w:r>
      <w:r w:rsidRPr="003C2CC1">
        <w:t xml:space="preserve">utros </w:t>
      </w:r>
      <w:r w:rsidR="009039D4" w:rsidRPr="003C2CC1">
        <w:t>manifestam</w:t>
      </w:r>
      <w:r w:rsidR="00A7167D" w:rsidRPr="003C2CC1">
        <w:t xml:space="preserve"> uma desconformida</w:t>
      </w:r>
      <w:r w:rsidR="00037C9A" w:rsidRPr="003C2CC1">
        <w:t xml:space="preserve">de, por vezes até </w:t>
      </w:r>
      <w:r w:rsidR="003C0D6E" w:rsidRPr="003C2CC1">
        <w:t>incompatível</w:t>
      </w:r>
      <w:r w:rsidRPr="003C2CC1">
        <w:t>, d</w:t>
      </w:r>
      <w:r w:rsidR="00910CCC" w:rsidRPr="003C2CC1">
        <w:t>o valor informativo</w:t>
      </w:r>
      <w:r w:rsidRPr="003C2CC1">
        <w:t xml:space="preserve"> </w:t>
      </w:r>
      <w:r w:rsidR="00016B1A" w:rsidRPr="003C2CC1">
        <w:t>(</w:t>
      </w:r>
      <w:proofErr w:type="spellStart"/>
      <w:r w:rsidR="00105C54">
        <w:t>B</w:t>
      </w:r>
      <w:r w:rsidR="00F0142B">
        <w:t>uckland</w:t>
      </w:r>
      <w:proofErr w:type="spellEnd"/>
      <w:r w:rsidR="00F54FBE" w:rsidRPr="003C2CC1">
        <w:t>, 1991</w:t>
      </w:r>
      <w:r w:rsidR="003266A8" w:rsidRPr="003C2CC1">
        <w:t>)</w:t>
      </w:r>
      <w:r w:rsidRPr="003C2CC1">
        <w:t>.</w:t>
      </w:r>
      <w:bookmarkEnd w:id="40"/>
    </w:p>
    <w:p w14:paraId="2BFE3E67" w14:textId="0E9130F6" w:rsidR="00322F8A" w:rsidRPr="003C2CC1" w:rsidRDefault="00322F8A" w:rsidP="00DF6FB9">
      <w:bookmarkStart w:id="41" w:name="_Toc13455225"/>
      <w:r w:rsidRPr="003C2CC1">
        <w:t xml:space="preserve">Nessa abordagem, fica evidente o caráter situacional da informação. A ótica do receptor e o contexto social em que ele está inserido </w:t>
      </w:r>
      <w:r w:rsidR="008D76FF" w:rsidRPr="003C2CC1">
        <w:t>são</w:t>
      </w:r>
      <w:r w:rsidRPr="003C2CC1">
        <w:t xml:space="preserve"> essenciais para a interpretação semântica da mensagem</w:t>
      </w:r>
      <w:r w:rsidR="00736755" w:rsidRPr="003C2CC1">
        <w:t xml:space="preserve">. </w:t>
      </w:r>
      <w:r w:rsidR="003D2E43" w:rsidRPr="003C2CC1">
        <w:t xml:space="preserve">Em concordância com essa visão, </w:t>
      </w:r>
      <w:proofErr w:type="spellStart"/>
      <w:r w:rsidR="009E7E39" w:rsidRPr="003C2CC1">
        <w:t>Capurro</w:t>
      </w:r>
      <w:proofErr w:type="spellEnd"/>
      <w:r w:rsidR="009E7E39" w:rsidRPr="003C2CC1">
        <w:t xml:space="preserve"> e </w:t>
      </w:r>
      <w:proofErr w:type="spellStart"/>
      <w:r w:rsidR="009E7E39" w:rsidRPr="003C2CC1">
        <w:t>Hjorland</w:t>
      </w:r>
      <w:proofErr w:type="spellEnd"/>
      <w:r w:rsidR="009E7E39" w:rsidRPr="003C2CC1">
        <w:t xml:space="preserve"> (2007</w:t>
      </w:r>
      <w:r w:rsidR="00611B66" w:rsidRPr="003C2CC1">
        <w:t>,</w:t>
      </w:r>
      <w:r w:rsidR="00D75012" w:rsidRPr="003C2CC1">
        <w:t xml:space="preserve"> p</w:t>
      </w:r>
      <w:r w:rsidR="00611B66" w:rsidRPr="003C2CC1">
        <w:t>.193-194)</w:t>
      </w:r>
      <w:r w:rsidR="008151AE" w:rsidRPr="003C2CC1">
        <w:t xml:space="preserve"> </w:t>
      </w:r>
      <w:r w:rsidR="00A52EF5" w:rsidRPr="003C2CC1">
        <w:t>concluem que</w:t>
      </w:r>
      <w:bookmarkEnd w:id="41"/>
    </w:p>
    <w:p w14:paraId="53ACCAAF" w14:textId="38733571" w:rsidR="00322F8A" w:rsidRDefault="00322F8A" w:rsidP="00F93BC6">
      <w:pPr>
        <w:pStyle w:val="SemEspaamento"/>
      </w:pPr>
      <w:bookmarkStart w:id="42" w:name="_Toc13455226"/>
      <w:r w:rsidRPr="005F17E0">
        <w:t>É relativamente fácil contar o número de palavras em um documento ou descrevê-lo de outras formas; muito mais difícil é tentar descobrir para quem aquele documento tem relevância e quais as perguntas importantes que ele pode responder. Questões de interpretação também são difíceis porque frequentemente confundimos interpretação e abordagem individualista. O significado é, entretanto, determinado nos contextos social e cultural.</w:t>
      </w:r>
      <w:bookmarkEnd w:id="42"/>
    </w:p>
    <w:p w14:paraId="36D607A5" w14:textId="77777777" w:rsidR="00E763D8" w:rsidRPr="005F17E0" w:rsidRDefault="00E763D8" w:rsidP="00F93BC6">
      <w:pPr>
        <w:pStyle w:val="SemEspaamento"/>
      </w:pPr>
    </w:p>
    <w:p w14:paraId="26E8908A" w14:textId="77777777" w:rsidR="00322F8A" w:rsidRPr="003C2CC1" w:rsidRDefault="00322F8A" w:rsidP="00DF6FB9">
      <w:bookmarkStart w:id="43" w:name="_Toc13455227"/>
      <w:r w:rsidRPr="003C2CC1">
        <w:t>Como se infere dessa citação, a moderna acepção do verbete informação busca compreender e aumentar o vínculo da comunicação da mensagem com os fundamentos da geração do conhecimento. E essa construção só foi possível, conforme exposto neste capítulo, após uma primeira visão totalmente desvinculada da interpretação do receptor e sua posterior contestação.</w:t>
      </w:r>
      <w:bookmarkEnd w:id="43"/>
      <w:r w:rsidRPr="003C2CC1">
        <w:t xml:space="preserve"> </w:t>
      </w:r>
    </w:p>
    <w:p w14:paraId="42FDC65D" w14:textId="2753CA22" w:rsidR="00322F8A" w:rsidRPr="003C2CC1" w:rsidRDefault="00322F8A" w:rsidP="00DF6FB9">
      <w:bookmarkStart w:id="44" w:name="_Toc13455228"/>
      <w:r w:rsidRPr="003C2CC1">
        <w:t>Da mesma forma, a transparência,</w:t>
      </w:r>
      <w:r w:rsidR="00954BB5" w:rsidRPr="003C2CC1">
        <w:t xml:space="preserve"> </w:t>
      </w:r>
      <w:r w:rsidR="00583921" w:rsidRPr="003C2CC1">
        <w:t xml:space="preserve">que não se resume </w:t>
      </w:r>
      <w:r w:rsidR="006C0BA9" w:rsidRPr="003C2CC1">
        <w:t xml:space="preserve">apenas </w:t>
      </w:r>
      <w:r w:rsidR="00583921" w:rsidRPr="003C2CC1">
        <w:t>à</w:t>
      </w:r>
      <w:r w:rsidR="00C75D62" w:rsidRPr="003C2CC1">
        <w:t xml:space="preserve"> abertura e exposição</w:t>
      </w:r>
      <w:r w:rsidR="006C0BA9" w:rsidRPr="003C2CC1">
        <w:t xml:space="preserve"> </w:t>
      </w:r>
      <w:r w:rsidR="00EB75C5" w:rsidRPr="003C2CC1">
        <w:t>de dados públicos,</w:t>
      </w:r>
      <w:r w:rsidRPr="003C2CC1">
        <w:t xml:space="preserve"> </w:t>
      </w:r>
      <w:r w:rsidR="007B4A4E" w:rsidRPr="003C2CC1">
        <w:t xml:space="preserve">pode se utilizar das reflexões </w:t>
      </w:r>
      <w:r w:rsidR="00F07F88" w:rsidRPr="003C2CC1">
        <w:t xml:space="preserve">acerca da comunicação de conhecimento e </w:t>
      </w:r>
      <w:r w:rsidR="00F231B6" w:rsidRPr="003C2CC1">
        <w:t>e</w:t>
      </w:r>
      <w:r w:rsidR="00A96C4A" w:rsidRPr="003C2CC1">
        <w:t>rigir</w:t>
      </w:r>
      <w:r w:rsidRPr="003C2CC1">
        <w:t xml:space="preserve"> sistemas de informação mais </w:t>
      </w:r>
      <w:r w:rsidR="00267F65" w:rsidRPr="003C2CC1">
        <w:t>compreensíveis</w:t>
      </w:r>
      <w:r w:rsidR="00C77AD2" w:rsidRPr="003C2CC1">
        <w:t>,</w:t>
      </w:r>
      <w:r w:rsidR="009D2DED" w:rsidRPr="003C2CC1">
        <w:t xml:space="preserve"> simples e</w:t>
      </w:r>
      <w:r w:rsidR="00C44E95" w:rsidRPr="003C2CC1">
        <w:t xml:space="preserve"> </w:t>
      </w:r>
      <w:r w:rsidR="009D2DED" w:rsidRPr="003C2CC1">
        <w:t>dirigidos a</w:t>
      </w:r>
      <w:r w:rsidR="001A3E8B" w:rsidRPr="003C2CC1">
        <w:t>os</w:t>
      </w:r>
      <w:r w:rsidRPr="003C2CC1">
        <w:t xml:space="preserve"> usuário</w:t>
      </w:r>
      <w:r w:rsidR="001A3E8B" w:rsidRPr="003C2CC1">
        <w:t>s</w:t>
      </w:r>
      <w:r w:rsidRPr="003C2CC1">
        <w:t xml:space="preserve"> da informação</w:t>
      </w:r>
      <w:r w:rsidR="001A3E8B" w:rsidRPr="003C2CC1">
        <w:t>, especialistas ou não.</w:t>
      </w:r>
      <w:bookmarkEnd w:id="44"/>
    </w:p>
    <w:p w14:paraId="3630D4AF" w14:textId="4DF027D0" w:rsidR="008E4AFB" w:rsidRDefault="00322F8A" w:rsidP="00DF6FB9">
      <w:bookmarkStart w:id="45" w:name="_Toc13455229"/>
      <w:r w:rsidRPr="003C2CC1">
        <w:t xml:space="preserve">Cumprido esse objetivo de trazer à luz aspectos de </w:t>
      </w:r>
      <w:r w:rsidR="00A24011" w:rsidRPr="003C2CC1">
        <w:t xml:space="preserve">comunicação e </w:t>
      </w:r>
      <w:r w:rsidR="0077748F" w:rsidRPr="003C2CC1">
        <w:t>compreensibilidade</w:t>
      </w:r>
      <w:r w:rsidRPr="003C2CC1">
        <w:t xml:space="preserve"> que </w:t>
      </w:r>
      <w:r w:rsidR="00541AF8" w:rsidRPr="003C2CC1">
        <w:t>suscitam</w:t>
      </w:r>
      <w:r w:rsidR="00752D20" w:rsidRPr="003C2CC1">
        <w:t xml:space="preserve"> reflex</w:t>
      </w:r>
      <w:r w:rsidR="000B13F4" w:rsidRPr="003C2CC1">
        <w:t>ões</w:t>
      </w:r>
      <w:r w:rsidR="00541AF8" w:rsidRPr="003C2CC1">
        <w:t xml:space="preserve"> sobre </w:t>
      </w:r>
      <w:r w:rsidRPr="003C2CC1">
        <w:t>a transparência</w:t>
      </w:r>
      <w:r w:rsidR="005456D6" w:rsidRPr="003C2CC1">
        <w:t xml:space="preserve"> fiscal</w:t>
      </w:r>
      <w:r w:rsidRPr="003C2CC1">
        <w:t xml:space="preserve">, cabe avançar ao estudo </w:t>
      </w:r>
      <w:r w:rsidR="004A1DEF" w:rsidRPr="003C2CC1">
        <w:t>d</w:t>
      </w:r>
      <w:r w:rsidR="009D1027" w:rsidRPr="003C2CC1">
        <w:t>os</w:t>
      </w:r>
      <w:r w:rsidR="004A1DEF" w:rsidRPr="003C2CC1">
        <w:t xml:space="preserve"> </w:t>
      </w:r>
      <w:r w:rsidR="009D1027" w:rsidRPr="003C2CC1">
        <w:t>relatórios</w:t>
      </w:r>
      <w:r w:rsidR="00BB4D38">
        <w:t xml:space="preserve"> </w:t>
      </w:r>
      <w:r w:rsidR="00BB4D38" w:rsidRPr="003C2CC1">
        <w:lastRenderedPageBreak/>
        <w:t>objetos de análise</w:t>
      </w:r>
      <w:r w:rsidR="00577798" w:rsidRPr="003C2CC1">
        <w:t xml:space="preserve">, cuja emissão pela Secretaria do Tesouro Nacional tem </w:t>
      </w:r>
      <w:r w:rsidR="00FF6047" w:rsidRPr="003C2CC1">
        <w:t>o condão</w:t>
      </w:r>
      <w:r w:rsidR="00197F25" w:rsidRPr="003C2CC1">
        <w:t xml:space="preserve"> de tornar a instituição</w:t>
      </w:r>
      <w:r w:rsidR="00577798" w:rsidRPr="003C2CC1">
        <w:t xml:space="preserve"> mais transparente perante a sociedade</w:t>
      </w:r>
      <w:bookmarkEnd w:id="45"/>
      <w:r w:rsidR="0024196E">
        <w:t>.</w:t>
      </w:r>
    </w:p>
    <w:p w14:paraId="33B93F47" w14:textId="77777777" w:rsidR="00310DE9" w:rsidRPr="003C2CC1" w:rsidRDefault="00310DE9" w:rsidP="00DF6FB9"/>
    <w:p w14:paraId="7F0075D4" w14:textId="71C2B5E3" w:rsidR="00750325" w:rsidRDefault="008E4AFB" w:rsidP="00880397">
      <w:pPr>
        <w:pStyle w:val="Ttulo2"/>
      </w:pPr>
      <w:bookmarkStart w:id="46" w:name="_Toc16087693"/>
      <w:r w:rsidRPr="000D4955">
        <w:t>1.4</w:t>
      </w:r>
      <w:r w:rsidR="00E763D8">
        <w:t>.</w:t>
      </w:r>
      <w:r w:rsidR="000D4955" w:rsidRPr="000D4955">
        <w:t xml:space="preserve"> </w:t>
      </w:r>
      <w:r w:rsidR="00CB33CD" w:rsidRPr="000D4955">
        <w:t xml:space="preserve">Justificativa: relevância </w:t>
      </w:r>
      <w:r w:rsidR="00720A63" w:rsidRPr="000D4955">
        <w:t>e contribuição</w:t>
      </w:r>
      <w:bookmarkEnd w:id="46"/>
    </w:p>
    <w:p w14:paraId="4AB3E0C5" w14:textId="77777777" w:rsidR="00E763D8" w:rsidRPr="00E763D8" w:rsidRDefault="00E763D8" w:rsidP="00E763D8"/>
    <w:p w14:paraId="446FEB38" w14:textId="69215B40" w:rsidR="002D72AD" w:rsidRPr="003C2CC1" w:rsidRDefault="00815881" w:rsidP="000B7B0D">
      <w:r w:rsidRPr="003C2CC1">
        <w:t>Segundo o portal Tesouro Transparente</w:t>
      </w:r>
      <w:r w:rsidR="007D3AAE" w:rsidRPr="003C2CC1">
        <w:t xml:space="preserve">, </w:t>
      </w:r>
      <w:r w:rsidR="00B72771" w:rsidRPr="003C2CC1">
        <w:t xml:space="preserve">as </w:t>
      </w:r>
      <w:r w:rsidR="00F21D85" w:rsidRPr="003C2CC1">
        <w:t xml:space="preserve">despesas primárias </w:t>
      </w:r>
      <w:r w:rsidR="00C520B0" w:rsidRPr="003C2CC1">
        <w:t xml:space="preserve">do Governo Central </w:t>
      </w:r>
      <w:r w:rsidR="005B4BDD" w:rsidRPr="003C2CC1">
        <w:t xml:space="preserve">superaram as receitas primárias </w:t>
      </w:r>
      <w:r w:rsidR="00F601D6" w:rsidRPr="003C2CC1">
        <w:t>no mês de novembro de 2014,</w:t>
      </w:r>
      <w:r w:rsidR="00013FCB" w:rsidRPr="003C2CC1">
        <w:t xml:space="preserve"> </w:t>
      </w:r>
      <w:r w:rsidR="007E7924" w:rsidRPr="003C2CC1">
        <w:t>incorrendo em</w:t>
      </w:r>
      <w:r w:rsidR="00013FCB" w:rsidRPr="003C2CC1">
        <w:t xml:space="preserve"> um déficit primário </w:t>
      </w:r>
      <w:r w:rsidR="00E325A6" w:rsidRPr="003C2CC1">
        <w:t xml:space="preserve">no acumulado de 12 meses </w:t>
      </w:r>
      <w:r w:rsidR="007E7924" w:rsidRPr="003C2CC1">
        <w:t xml:space="preserve">que persiste até hoje. </w:t>
      </w:r>
      <w:r w:rsidR="00352EF5" w:rsidRPr="003C2CC1">
        <w:t xml:space="preserve">Diante dessa situação fiscal, </w:t>
      </w:r>
      <w:r w:rsidR="008E3297" w:rsidRPr="003C2CC1">
        <w:t>a gestão públi</w:t>
      </w:r>
      <w:r w:rsidR="00492878" w:rsidRPr="003C2CC1">
        <w:t xml:space="preserve">ca </w:t>
      </w:r>
      <w:r w:rsidR="00E91FC1" w:rsidRPr="003C2CC1">
        <w:t xml:space="preserve">se debruça </w:t>
      </w:r>
      <w:r w:rsidR="00674E15" w:rsidRPr="003C2CC1">
        <w:t xml:space="preserve">sobre </w:t>
      </w:r>
      <w:r w:rsidR="00543499" w:rsidRPr="003C2CC1">
        <w:t xml:space="preserve">os principais componentes </w:t>
      </w:r>
      <w:r w:rsidR="008B5737" w:rsidRPr="003C2CC1">
        <w:t xml:space="preserve">do gasto </w:t>
      </w:r>
      <w:r w:rsidR="005F59AC" w:rsidRPr="003C2CC1">
        <w:t xml:space="preserve">público </w:t>
      </w:r>
      <w:r w:rsidR="000A7BEA" w:rsidRPr="003C2CC1">
        <w:t xml:space="preserve">para levantar a discussão acerca do equilíbrio </w:t>
      </w:r>
      <w:r w:rsidR="0094353A" w:rsidRPr="003C2CC1">
        <w:t>dess</w:t>
      </w:r>
      <w:r w:rsidR="006972A5" w:rsidRPr="003C2CC1">
        <w:t>a equação ao longo do tempo.</w:t>
      </w:r>
    </w:p>
    <w:p w14:paraId="5F60093A" w14:textId="1F97CF5C" w:rsidR="00D73EFA" w:rsidRPr="003C2CC1" w:rsidRDefault="00D73EFA" w:rsidP="000B7B0D">
      <w:r w:rsidRPr="003C2CC1">
        <w:t xml:space="preserve">Nesse </w:t>
      </w:r>
      <w:r w:rsidR="00FF2153" w:rsidRPr="003C2CC1">
        <w:t>cen</w:t>
      </w:r>
      <w:r w:rsidR="00874453" w:rsidRPr="003C2CC1">
        <w:t xml:space="preserve">ário, </w:t>
      </w:r>
      <w:r w:rsidR="004B57A3" w:rsidRPr="003C2CC1">
        <w:t>p</w:t>
      </w:r>
      <w:r w:rsidR="009E5085" w:rsidRPr="003C2CC1">
        <w:t>elo fato de</w:t>
      </w:r>
      <w:r w:rsidR="004B57A3" w:rsidRPr="003C2CC1">
        <w:t xml:space="preserve"> </w:t>
      </w:r>
      <w:r w:rsidR="00BF5802" w:rsidRPr="003C2CC1">
        <w:t>as despesas com previdência e com pessoal</w:t>
      </w:r>
      <w:r w:rsidR="00A14E7C" w:rsidRPr="003C2CC1">
        <w:t xml:space="preserve"> ocupa</w:t>
      </w:r>
      <w:r w:rsidR="004B57A3" w:rsidRPr="003C2CC1">
        <w:t>re</w:t>
      </w:r>
      <w:r w:rsidR="00A14E7C" w:rsidRPr="003C2CC1">
        <w:t>m</w:t>
      </w:r>
      <w:r w:rsidR="004D14D4" w:rsidRPr="003C2CC1">
        <w:t xml:space="preserve"> </w:t>
      </w:r>
      <w:r w:rsidR="001827CB" w:rsidRPr="003C2CC1">
        <w:t xml:space="preserve">as primeiras </w:t>
      </w:r>
      <w:r w:rsidR="009E5085" w:rsidRPr="003C2CC1">
        <w:t>posições</w:t>
      </w:r>
      <w:r w:rsidR="008B1961">
        <w:rPr>
          <w:rStyle w:val="Refdenotaderodap"/>
        </w:rPr>
        <w:footnoteReference w:id="2"/>
      </w:r>
      <w:r w:rsidR="009E5085" w:rsidRPr="003C2CC1">
        <w:t xml:space="preserve"> </w:t>
      </w:r>
      <w:r w:rsidR="008D17FC" w:rsidRPr="003C2CC1">
        <w:t xml:space="preserve">entre </w:t>
      </w:r>
      <w:r w:rsidR="00DB1C9E" w:rsidRPr="003C2CC1">
        <w:t xml:space="preserve">os tipos de gasto que impactam </w:t>
      </w:r>
      <w:r w:rsidR="006739E1" w:rsidRPr="003C2CC1">
        <w:t xml:space="preserve">o resultado fiscal, </w:t>
      </w:r>
      <w:r w:rsidR="00A81051" w:rsidRPr="003C2CC1">
        <w:t xml:space="preserve">o governo </w:t>
      </w:r>
      <w:r w:rsidR="0030598C" w:rsidRPr="003C2CC1">
        <w:t xml:space="preserve">tem levado à sociedade </w:t>
      </w:r>
      <w:r w:rsidR="007B2485" w:rsidRPr="003C2CC1">
        <w:t xml:space="preserve">a preocupação com o </w:t>
      </w:r>
      <w:r w:rsidR="0022188D" w:rsidRPr="003C2CC1">
        <w:t>peso</w:t>
      </w:r>
      <w:r w:rsidR="007B2485" w:rsidRPr="003C2CC1">
        <w:t xml:space="preserve"> dessas rubricas e</w:t>
      </w:r>
      <w:r w:rsidR="00512BDE" w:rsidRPr="003C2CC1">
        <w:t xml:space="preserve">m </w:t>
      </w:r>
      <w:r w:rsidR="004D7E62" w:rsidRPr="003C2CC1">
        <w:t>um cenário</w:t>
      </w:r>
      <w:r w:rsidR="002775AD" w:rsidRPr="003C2CC1">
        <w:t xml:space="preserve"> de restrição </w:t>
      </w:r>
      <w:r w:rsidR="00600CFF" w:rsidRPr="003C2CC1">
        <w:t>d</w:t>
      </w:r>
      <w:r w:rsidR="00B637B2" w:rsidRPr="003C2CC1">
        <w:t>o</w:t>
      </w:r>
      <w:r w:rsidR="00600CFF" w:rsidRPr="003C2CC1">
        <w:t xml:space="preserve"> investimento</w:t>
      </w:r>
      <w:r w:rsidR="00BF0606" w:rsidRPr="003C2CC1">
        <w:t xml:space="preserve"> p</w:t>
      </w:r>
      <w:r w:rsidR="00B637B2" w:rsidRPr="003C2CC1">
        <w:t>úblico</w:t>
      </w:r>
      <w:r w:rsidR="00600CFF" w:rsidRPr="003C2CC1">
        <w:t xml:space="preserve">, haja vista </w:t>
      </w:r>
      <w:r w:rsidR="0052020F" w:rsidRPr="003C2CC1">
        <w:t xml:space="preserve">a </w:t>
      </w:r>
      <w:r w:rsidR="00373DF7" w:rsidRPr="003C2CC1">
        <w:t xml:space="preserve">dificuldade de a </w:t>
      </w:r>
      <w:r w:rsidR="0052020F" w:rsidRPr="003C2CC1">
        <w:t xml:space="preserve">receita </w:t>
      </w:r>
      <w:r w:rsidR="007B3D11" w:rsidRPr="003C2CC1">
        <w:t xml:space="preserve">primária </w:t>
      </w:r>
      <w:r w:rsidR="00356135" w:rsidRPr="003C2CC1">
        <w:t xml:space="preserve">cobrir o volume </w:t>
      </w:r>
      <w:r w:rsidR="0066704E" w:rsidRPr="003C2CC1">
        <w:t xml:space="preserve">global da despesa primária, sendo necessário recorrer à empréstimos para </w:t>
      </w:r>
      <w:r w:rsidR="00A3105B" w:rsidRPr="003C2CC1">
        <w:t>financiar o déficit.</w:t>
      </w:r>
      <w:r w:rsidR="001F5660" w:rsidRPr="003C2CC1">
        <w:t xml:space="preserve"> </w:t>
      </w:r>
      <w:r w:rsidR="004D7E62" w:rsidRPr="003C2CC1">
        <w:t xml:space="preserve"> </w:t>
      </w:r>
      <w:r w:rsidR="0022188D" w:rsidRPr="003C2CC1">
        <w:t xml:space="preserve"> </w:t>
      </w:r>
      <w:r w:rsidR="009E5085" w:rsidRPr="003C2CC1">
        <w:t xml:space="preserve"> </w:t>
      </w:r>
    </w:p>
    <w:p w14:paraId="0F9C3CE6" w14:textId="071CBF55" w:rsidR="00C70BE1" w:rsidRPr="003C2CC1" w:rsidRDefault="00FF3668" w:rsidP="000B7B0D">
      <w:r w:rsidRPr="003C2CC1">
        <w:t>Por ess</w:t>
      </w:r>
      <w:r w:rsidR="0086026C" w:rsidRPr="003C2CC1">
        <w:t xml:space="preserve">a </w:t>
      </w:r>
      <w:r w:rsidR="00CD768A" w:rsidRPr="003C2CC1">
        <w:t>notoriedade</w:t>
      </w:r>
      <w:r w:rsidR="00E10A26" w:rsidRPr="003C2CC1">
        <w:t xml:space="preserve">, </w:t>
      </w:r>
      <w:r w:rsidR="00911BE1" w:rsidRPr="003C2CC1">
        <w:t>a</w:t>
      </w:r>
      <w:r w:rsidR="00B107AA" w:rsidRPr="003C2CC1">
        <w:t xml:space="preserve"> </w:t>
      </w:r>
      <w:r w:rsidR="00911BE1" w:rsidRPr="003C2CC1">
        <w:t>contribuição</w:t>
      </w:r>
      <w:r w:rsidR="00B107AA" w:rsidRPr="003C2CC1">
        <w:t xml:space="preserve"> deste trabalho se dá n</w:t>
      </w:r>
      <w:r w:rsidR="00A721FB" w:rsidRPr="003C2CC1">
        <w:t xml:space="preserve">a </w:t>
      </w:r>
      <w:r w:rsidR="00516437" w:rsidRPr="003C2CC1">
        <w:t xml:space="preserve">avaliação da </w:t>
      </w:r>
      <w:r w:rsidR="00A721FB" w:rsidRPr="003C2CC1">
        <w:t xml:space="preserve">exposição </w:t>
      </w:r>
      <w:r w:rsidR="009032B5" w:rsidRPr="003C2CC1">
        <w:t>difusa</w:t>
      </w:r>
      <w:r w:rsidR="00E80A68" w:rsidRPr="003C2CC1">
        <w:t xml:space="preserve"> </w:t>
      </w:r>
      <w:r w:rsidR="004944D8" w:rsidRPr="003C2CC1">
        <w:t>das</w:t>
      </w:r>
      <w:r w:rsidR="00B107AA" w:rsidRPr="003C2CC1">
        <w:t xml:space="preserve"> informações relativas aos gastos com pessoal, com previdência e com investimento </w:t>
      </w:r>
      <w:r w:rsidR="00720A0B" w:rsidRPr="003C2CC1">
        <w:t>publicadas</w:t>
      </w:r>
      <w:r w:rsidR="00EE1F48" w:rsidRPr="003C2CC1">
        <w:t xml:space="preserve"> p</w:t>
      </w:r>
      <w:r w:rsidR="002D6C15" w:rsidRPr="003C2CC1">
        <w:t xml:space="preserve">or </w:t>
      </w:r>
      <w:r w:rsidR="003F1140" w:rsidRPr="003C2CC1">
        <w:t xml:space="preserve">três relatórios </w:t>
      </w:r>
      <w:r w:rsidR="00AD5B83" w:rsidRPr="003C2CC1">
        <w:t>di</w:t>
      </w:r>
      <w:r w:rsidR="00B17B4A" w:rsidRPr="003C2CC1">
        <w:t>stintos</w:t>
      </w:r>
      <w:r w:rsidR="005A36DA" w:rsidRPr="003C2CC1">
        <w:t>, todos confeccionados pel</w:t>
      </w:r>
      <w:r w:rsidR="00EE662C" w:rsidRPr="003C2CC1">
        <w:t xml:space="preserve">o órgão </w:t>
      </w:r>
      <w:r w:rsidR="00A049D7" w:rsidRPr="003C2CC1">
        <w:t xml:space="preserve">federal que cuida </w:t>
      </w:r>
      <w:r w:rsidR="000E07C0" w:rsidRPr="003C2CC1">
        <w:t xml:space="preserve">da tesouraria e da </w:t>
      </w:r>
      <w:r w:rsidR="00077953" w:rsidRPr="003C2CC1">
        <w:t xml:space="preserve">estatística </w:t>
      </w:r>
      <w:r w:rsidR="00E80A68" w:rsidRPr="003C2CC1">
        <w:t>da União</w:t>
      </w:r>
      <w:r w:rsidR="004944D8" w:rsidRPr="003C2CC1">
        <w:t xml:space="preserve"> – a STN –</w:t>
      </w:r>
      <w:r w:rsidR="00E80A68" w:rsidRPr="003C2CC1">
        <w:t xml:space="preserve">, </w:t>
      </w:r>
      <w:r w:rsidR="005A36DA" w:rsidRPr="003C2CC1">
        <w:t xml:space="preserve">com a </w:t>
      </w:r>
      <w:r w:rsidR="00EE62AA" w:rsidRPr="003C2CC1">
        <w:t>intuito</w:t>
      </w:r>
      <w:r w:rsidR="00961ABF" w:rsidRPr="003C2CC1">
        <w:t xml:space="preserve"> de</w:t>
      </w:r>
      <w:r w:rsidR="00071FAC" w:rsidRPr="003C2CC1">
        <w:t xml:space="preserve"> </w:t>
      </w:r>
      <w:r w:rsidR="009D5BFA" w:rsidRPr="003C2CC1">
        <w:t>mostrar</w:t>
      </w:r>
      <w:r w:rsidR="00071FAC" w:rsidRPr="003C2CC1">
        <w:t xml:space="preserve"> </w:t>
      </w:r>
      <w:r w:rsidR="00A13156" w:rsidRPr="003C2CC1">
        <w:t xml:space="preserve">o tamanho </w:t>
      </w:r>
      <w:r w:rsidR="0097182C" w:rsidRPr="003C2CC1">
        <w:t xml:space="preserve">desses itens </w:t>
      </w:r>
      <w:r w:rsidR="00EB5660" w:rsidRPr="003C2CC1">
        <w:t>nas contas do País.</w:t>
      </w:r>
      <w:r w:rsidR="00961ABF" w:rsidRPr="003C2CC1">
        <w:t xml:space="preserve"> </w:t>
      </w:r>
      <w:r w:rsidR="005A36DA" w:rsidRPr="003C2CC1">
        <w:t xml:space="preserve"> </w:t>
      </w:r>
    </w:p>
    <w:p w14:paraId="40D74901" w14:textId="77777777" w:rsidR="00431242" w:rsidRDefault="00431242" w:rsidP="00880397">
      <w:pPr>
        <w:pStyle w:val="Ttulo2"/>
      </w:pPr>
    </w:p>
    <w:p w14:paraId="2D509259" w14:textId="77777777" w:rsidR="00431242" w:rsidRDefault="00431242" w:rsidP="00880397">
      <w:pPr>
        <w:pStyle w:val="Ttulo2"/>
      </w:pPr>
    </w:p>
    <w:p w14:paraId="548CDE1D" w14:textId="77777777" w:rsidR="00431242" w:rsidRDefault="00431242" w:rsidP="00880397">
      <w:pPr>
        <w:pStyle w:val="Ttulo2"/>
      </w:pPr>
    </w:p>
    <w:p w14:paraId="0271CA9C" w14:textId="77777777" w:rsidR="00431242" w:rsidRDefault="00431242" w:rsidP="00880397">
      <w:pPr>
        <w:pStyle w:val="Ttulo2"/>
      </w:pPr>
    </w:p>
    <w:p w14:paraId="77CA2884" w14:textId="77777777" w:rsidR="00431242" w:rsidRDefault="00431242" w:rsidP="00880397">
      <w:pPr>
        <w:pStyle w:val="Ttulo2"/>
      </w:pPr>
    </w:p>
    <w:p w14:paraId="781829D8" w14:textId="77777777" w:rsidR="00431242" w:rsidRDefault="00431242" w:rsidP="00880397">
      <w:pPr>
        <w:pStyle w:val="Ttulo2"/>
      </w:pPr>
    </w:p>
    <w:p w14:paraId="6F824744" w14:textId="77777777" w:rsidR="00431242" w:rsidRDefault="00431242" w:rsidP="00880397">
      <w:pPr>
        <w:pStyle w:val="Ttulo2"/>
      </w:pPr>
    </w:p>
    <w:p w14:paraId="15320A7B" w14:textId="77777777" w:rsidR="00431242" w:rsidRDefault="00431242" w:rsidP="00880397">
      <w:pPr>
        <w:pStyle w:val="Ttulo2"/>
      </w:pPr>
    </w:p>
    <w:p w14:paraId="22649030" w14:textId="77777777" w:rsidR="00431242" w:rsidRDefault="00431242" w:rsidP="00880397">
      <w:pPr>
        <w:pStyle w:val="Ttulo2"/>
      </w:pPr>
    </w:p>
    <w:p w14:paraId="14F401C5" w14:textId="77777777" w:rsidR="00431242" w:rsidRDefault="00431242" w:rsidP="00880397">
      <w:pPr>
        <w:pStyle w:val="Ttulo2"/>
      </w:pPr>
    </w:p>
    <w:p w14:paraId="0782CE12" w14:textId="7F9075EE" w:rsidR="009146AE" w:rsidRPr="00242C9C" w:rsidRDefault="00C50B85" w:rsidP="00242C9C">
      <w:pPr>
        <w:pStyle w:val="Ttulo1"/>
      </w:pPr>
      <w:bookmarkStart w:id="47" w:name="_Toc16087694"/>
      <w:r w:rsidRPr="00242C9C">
        <w:lastRenderedPageBreak/>
        <w:t>2</w:t>
      </w:r>
      <w:r w:rsidR="00DF07CD" w:rsidRPr="00242C9C">
        <w:t>.</w:t>
      </w:r>
      <w:r w:rsidR="000D4955" w:rsidRPr="00242C9C">
        <w:t xml:space="preserve"> </w:t>
      </w:r>
      <w:r w:rsidR="009146AE" w:rsidRPr="00242C9C">
        <w:t>Metodologia</w:t>
      </w:r>
      <w:bookmarkEnd w:id="47"/>
    </w:p>
    <w:p w14:paraId="64091748" w14:textId="77777777" w:rsidR="00DF07CD" w:rsidRPr="00DF07CD" w:rsidRDefault="00DF07CD" w:rsidP="00DF07CD"/>
    <w:p w14:paraId="0AC09B5F" w14:textId="442FF42C" w:rsidR="00C3192C" w:rsidRPr="003C2CC1" w:rsidRDefault="00AE6DC6" w:rsidP="000B7B0D">
      <w:r w:rsidRPr="003C2CC1">
        <w:t>O Resultado do Tesouro Nacional (RTN), as Estatísticas Fiscais Trimestrais do Governo Geral e o Boletim de Finanças dos Entes Subnacionais, publicados com a finalidade de divulgar dados acerca do desempenho fiscal do governo, são amparados por metodologias próprias, possuem abrangência distintas, mas abordam alguns temas comuns e sensíveis à política fiscal. Para es</w:t>
      </w:r>
      <w:r w:rsidR="00743B6B" w:rsidRPr="003C2CC1">
        <w:t>t</w:t>
      </w:r>
      <w:r w:rsidR="00BC322B" w:rsidRPr="003C2CC1">
        <w:t>a</w:t>
      </w:r>
      <w:r w:rsidRPr="003C2CC1">
        <w:t xml:space="preserve"> </w:t>
      </w:r>
      <w:r w:rsidR="00BC322B" w:rsidRPr="003C2CC1">
        <w:t>pesquisa</w:t>
      </w:r>
      <w:r w:rsidRPr="003C2CC1">
        <w:t>,</w:t>
      </w:r>
      <w:r w:rsidR="00304E8E" w:rsidRPr="003C2CC1">
        <w:t xml:space="preserve"> conforme justificativa </w:t>
      </w:r>
      <w:r w:rsidR="0023219C" w:rsidRPr="003C2CC1">
        <w:t xml:space="preserve">recém </w:t>
      </w:r>
      <w:r w:rsidR="009B2CD1" w:rsidRPr="003C2CC1">
        <w:t>exposta</w:t>
      </w:r>
      <w:r w:rsidR="0023219C" w:rsidRPr="003C2CC1">
        <w:t>,</w:t>
      </w:r>
      <w:r w:rsidRPr="003C2CC1">
        <w:t xml:space="preserve"> o escopo se delimita sobre os gastos com pessoal (ativo), com previdência e com investimento.  </w:t>
      </w:r>
    </w:p>
    <w:p w14:paraId="1C7CDF37" w14:textId="0B9F5E1B" w:rsidR="00D76E86" w:rsidRPr="00760E67" w:rsidRDefault="00E05106" w:rsidP="000B7B0D">
      <w:pPr>
        <w:rPr>
          <w:color w:val="auto"/>
        </w:rPr>
      </w:pPr>
      <w:r w:rsidRPr="00760E67">
        <w:rPr>
          <w:color w:val="auto"/>
        </w:rPr>
        <w:t>Para</w:t>
      </w:r>
      <w:r w:rsidR="00083128" w:rsidRPr="00760E67">
        <w:rPr>
          <w:color w:val="auto"/>
        </w:rPr>
        <w:t xml:space="preserve"> avaliar a </w:t>
      </w:r>
      <w:r w:rsidR="005B65FA" w:rsidRPr="00760E67">
        <w:rPr>
          <w:color w:val="auto"/>
        </w:rPr>
        <w:t>uniformidade</w:t>
      </w:r>
      <w:r w:rsidR="00083128" w:rsidRPr="00760E67">
        <w:rPr>
          <w:color w:val="auto"/>
        </w:rPr>
        <w:t xml:space="preserve"> entre </w:t>
      </w:r>
      <w:r w:rsidR="00675915" w:rsidRPr="00760E67">
        <w:rPr>
          <w:color w:val="auto"/>
        </w:rPr>
        <w:t>as informações</w:t>
      </w:r>
      <w:r w:rsidR="00083128" w:rsidRPr="00760E67">
        <w:rPr>
          <w:color w:val="auto"/>
        </w:rPr>
        <w:t xml:space="preserve"> </w:t>
      </w:r>
      <w:r w:rsidR="006974EF" w:rsidRPr="00760E67">
        <w:rPr>
          <w:color w:val="auto"/>
        </w:rPr>
        <w:t>o</w:t>
      </w:r>
      <w:r w:rsidR="008E210F" w:rsidRPr="00760E67">
        <w:rPr>
          <w:color w:val="auto"/>
        </w:rPr>
        <w:t>bjetos deste</w:t>
      </w:r>
      <w:r w:rsidR="006974EF" w:rsidRPr="00760E67">
        <w:rPr>
          <w:color w:val="auto"/>
        </w:rPr>
        <w:t xml:space="preserve"> estudo, </w:t>
      </w:r>
      <w:r w:rsidR="00CB1B3B" w:rsidRPr="00760E67">
        <w:rPr>
          <w:color w:val="auto"/>
        </w:rPr>
        <w:t>Santos</w:t>
      </w:r>
      <w:r w:rsidR="00CB2D59" w:rsidRPr="00760E67">
        <w:rPr>
          <w:color w:val="auto"/>
        </w:rPr>
        <w:t xml:space="preserve"> (</w:t>
      </w:r>
      <w:r w:rsidR="00CB1B3B" w:rsidRPr="00760E67">
        <w:rPr>
          <w:color w:val="auto"/>
        </w:rPr>
        <w:t>2004</w:t>
      </w:r>
      <w:r w:rsidR="00CB2D59" w:rsidRPr="00760E67">
        <w:rPr>
          <w:color w:val="auto"/>
        </w:rPr>
        <w:t xml:space="preserve">) </w:t>
      </w:r>
      <w:r w:rsidR="009D62B8" w:rsidRPr="00760E67">
        <w:rPr>
          <w:color w:val="auto"/>
        </w:rPr>
        <w:t xml:space="preserve">recomenda a pesquisa </w:t>
      </w:r>
      <w:r w:rsidR="00D021F3" w:rsidRPr="00760E67">
        <w:rPr>
          <w:color w:val="auto"/>
        </w:rPr>
        <w:t>de campo</w:t>
      </w:r>
      <w:r w:rsidR="00CB1B3B" w:rsidRPr="00760E67">
        <w:rPr>
          <w:color w:val="auto"/>
        </w:rPr>
        <w:t xml:space="preserve"> (ou empírica)</w:t>
      </w:r>
      <w:r w:rsidR="00277C75" w:rsidRPr="00760E67">
        <w:rPr>
          <w:color w:val="auto"/>
        </w:rPr>
        <w:t>, pela possibilidade de</w:t>
      </w:r>
      <w:r w:rsidR="001D0BE2" w:rsidRPr="00760E67">
        <w:rPr>
          <w:color w:val="auto"/>
        </w:rPr>
        <w:t xml:space="preserve"> se observar e levantar </w:t>
      </w:r>
      <w:r w:rsidR="00124D63" w:rsidRPr="00760E67">
        <w:rPr>
          <w:color w:val="auto"/>
        </w:rPr>
        <w:t>essas informações</w:t>
      </w:r>
      <w:r w:rsidR="001D0BE2" w:rsidRPr="00760E67">
        <w:rPr>
          <w:color w:val="auto"/>
        </w:rPr>
        <w:t xml:space="preserve"> </w:t>
      </w:r>
      <w:r w:rsidR="0052201D" w:rsidRPr="00760E67">
        <w:rPr>
          <w:color w:val="auto"/>
        </w:rPr>
        <w:t>diretamente d</w:t>
      </w:r>
      <w:r w:rsidR="001D0BE2" w:rsidRPr="00760E67">
        <w:rPr>
          <w:color w:val="auto"/>
        </w:rPr>
        <w:t>a fonte primária</w:t>
      </w:r>
      <w:r w:rsidR="00124D63" w:rsidRPr="00760E67">
        <w:rPr>
          <w:color w:val="auto"/>
        </w:rPr>
        <w:t xml:space="preserve"> dos dados</w:t>
      </w:r>
      <w:r w:rsidR="001D0BE2" w:rsidRPr="00760E67">
        <w:rPr>
          <w:color w:val="auto"/>
        </w:rPr>
        <w:t>.</w:t>
      </w:r>
      <w:r w:rsidR="00124D63" w:rsidRPr="00760E67">
        <w:rPr>
          <w:color w:val="auto"/>
        </w:rPr>
        <w:t xml:space="preserve"> </w:t>
      </w:r>
      <w:r w:rsidR="00AC1C7C" w:rsidRPr="00760E67">
        <w:rPr>
          <w:color w:val="auto"/>
        </w:rPr>
        <w:t xml:space="preserve">Além do mais, </w:t>
      </w:r>
      <w:r w:rsidR="00210757" w:rsidRPr="00760E67">
        <w:rPr>
          <w:color w:val="auto"/>
        </w:rPr>
        <w:t xml:space="preserve">torna-se importante </w:t>
      </w:r>
      <w:r w:rsidR="00E10989" w:rsidRPr="00760E67">
        <w:rPr>
          <w:color w:val="auto"/>
        </w:rPr>
        <w:t>realizar uma aproximação com o tema</w:t>
      </w:r>
      <w:r w:rsidR="00E027FC" w:rsidRPr="00760E67">
        <w:rPr>
          <w:color w:val="auto"/>
        </w:rPr>
        <w:t xml:space="preserve">, </w:t>
      </w:r>
      <w:r w:rsidR="00507B78" w:rsidRPr="00760E67">
        <w:rPr>
          <w:color w:val="auto"/>
        </w:rPr>
        <w:t>a fim</w:t>
      </w:r>
      <w:r w:rsidR="00566AF5" w:rsidRPr="00760E67">
        <w:rPr>
          <w:color w:val="auto"/>
        </w:rPr>
        <w:t xml:space="preserve"> de proporcionar uma visão geral</w:t>
      </w:r>
      <w:r w:rsidR="0089754C" w:rsidRPr="00760E67">
        <w:rPr>
          <w:color w:val="auto"/>
        </w:rPr>
        <w:t>,</w:t>
      </w:r>
      <w:r w:rsidR="00566AF5" w:rsidRPr="00760E67">
        <w:rPr>
          <w:color w:val="auto"/>
        </w:rPr>
        <w:t xml:space="preserve"> </w:t>
      </w:r>
      <w:r w:rsidR="00E027FC" w:rsidRPr="00760E67">
        <w:rPr>
          <w:color w:val="auto"/>
        </w:rPr>
        <w:t xml:space="preserve">até para saber o estágio em que as informações </w:t>
      </w:r>
      <w:r w:rsidR="00440D86" w:rsidRPr="00760E67">
        <w:rPr>
          <w:color w:val="auto"/>
        </w:rPr>
        <w:t>se encontram</w:t>
      </w:r>
      <w:r w:rsidR="009841FE" w:rsidRPr="00760E67">
        <w:rPr>
          <w:color w:val="auto"/>
        </w:rPr>
        <w:t xml:space="preserve"> – conforme definições trazidas pela revisão bibliográfica do capítulo anterior –</w:t>
      </w:r>
      <w:r w:rsidR="00974224" w:rsidRPr="00760E67">
        <w:rPr>
          <w:color w:val="auto"/>
        </w:rPr>
        <w:t>, assim como</w:t>
      </w:r>
      <w:r w:rsidR="00C058E8" w:rsidRPr="00760E67">
        <w:rPr>
          <w:color w:val="auto"/>
        </w:rPr>
        <w:t xml:space="preserve"> restringir </w:t>
      </w:r>
      <w:r w:rsidR="00974224" w:rsidRPr="00760E67">
        <w:rPr>
          <w:color w:val="auto"/>
        </w:rPr>
        <w:t xml:space="preserve">e definir </w:t>
      </w:r>
      <w:r w:rsidR="00C058E8" w:rsidRPr="00760E67">
        <w:rPr>
          <w:color w:val="auto"/>
        </w:rPr>
        <w:t>objetos</w:t>
      </w:r>
      <w:r w:rsidR="00974224" w:rsidRPr="00760E67">
        <w:rPr>
          <w:color w:val="auto"/>
        </w:rPr>
        <w:t xml:space="preserve"> de estudo.</w:t>
      </w:r>
      <w:r w:rsidR="00FE014B" w:rsidRPr="00760E67">
        <w:rPr>
          <w:color w:val="auto"/>
        </w:rPr>
        <w:t xml:space="preserve"> </w:t>
      </w:r>
      <w:r w:rsidR="00EA4806" w:rsidRPr="00760E67">
        <w:rPr>
          <w:color w:val="auto"/>
        </w:rPr>
        <w:t xml:space="preserve">Não apenas Santos (2004), </w:t>
      </w:r>
      <w:r w:rsidR="00403F15" w:rsidRPr="00760E67">
        <w:rPr>
          <w:color w:val="auto"/>
        </w:rPr>
        <w:t xml:space="preserve">mas também </w:t>
      </w:r>
      <w:r w:rsidR="00EA4806" w:rsidRPr="00760E67">
        <w:rPr>
          <w:color w:val="auto"/>
        </w:rPr>
        <w:t>Gil (1999)</w:t>
      </w:r>
      <w:r w:rsidR="00403F15" w:rsidRPr="00760E67">
        <w:rPr>
          <w:color w:val="auto"/>
        </w:rPr>
        <w:t xml:space="preserve"> e Cervo e </w:t>
      </w:r>
      <w:proofErr w:type="spellStart"/>
      <w:r w:rsidR="00403F15" w:rsidRPr="00760E67">
        <w:rPr>
          <w:color w:val="auto"/>
        </w:rPr>
        <w:t>Bervian</w:t>
      </w:r>
      <w:proofErr w:type="spellEnd"/>
      <w:r w:rsidR="00403F15" w:rsidRPr="00760E67">
        <w:rPr>
          <w:color w:val="auto"/>
        </w:rPr>
        <w:t xml:space="preserve"> (1983) </w:t>
      </w:r>
      <w:r w:rsidR="00A0205C" w:rsidRPr="00760E67">
        <w:rPr>
          <w:color w:val="auto"/>
        </w:rPr>
        <w:t xml:space="preserve">concordam </w:t>
      </w:r>
      <w:r w:rsidR="00C67718" w:rsidRPr="00760E67">
        <w:rPr>
          <w:color w:val="auto"/>
        </w:rPr>
        <w:t xml:space="preserve">que essas </w:t>
      </w:r>
      <w:r w:rsidR="003D4F0F" w:rsidRPr="00760E67">
        <w:rPr>
          <w:color w:val="auto"/>
        </w:rPr>
        <w:t>propriedades</w:t>
      </w:r>
      <w:r w:rsidR="00EB0769" w:rsidRPr="00760E67">
        <w:rPr>
          <w:color w:val="auto"/>
        </w:rPr>
        <w:t xml:space="preserve"> podem ser atingidas por meio de uma pesquisa exploratória.</w:t>
      </w:r>
      <w:r w:rsidR="00C67718" w:rsidRPr="00760E67">
        <w:rPr>
          <w:color w:val="auto"/>
        </w:rPr>
        <w:t xml:space="preserve"> </w:t>
      </w:r>
      <w:r w:rsidR="00974224" w:rsidRPr="00760E67">
        <w:rPr>
          <w:color w:val="auto"/>
        </w:rPr>
        <w:t xml:space="preserve"> </w:t>
      </w:r>
      <w:r w:rsidR="00C058E8" w:rsidRPr="00760E67">
        <w:rPr>
          <w:color w:val="auto"/>
        </w:rPr>
        <w:t xml:space="preserve"> </w:t>
      </w:r>
      <w:r w:rsidR="00E10989" w:rsidRPr="00760E67">
        <w:rPr>
          <w:color w:val="auto"/>
        </w:rPr>
        <w:t xml:space="preserve"> </w:t>
      </w:r>
      <w:r w:rsidR="00D76E86" w:rsidRPr="00760E67">
        <w:rPr>
          <w:color w:val="auto"/>
        </w:rPr>
        <w:t xml:space="preserve"> </w:t>
      </w:r>
      <w:r w:rsidR="001D0BE2" w:rsidRPr="00760E67">
        <w:rPr>
          <w:color w:val="auto"/>
        </w:rPr>
        <w:t xml:space="preserve"> </w:t>
      </w:r>
    </w:p>
    <w:p w14:paraId="37A0D6D7" w14:textId="2A1D1634" w:rsidR="00083128" w:rsidRPr="00760E67" w:rsidRDefault="005E2A36" w:rsidP="000B7B0D">
      <w:pPr>
        <w:rPr>
          <w:color w:val="auto"/>
        </w:rPr>
      </w:pPr>
      <w:r w:rsidRPr="00760E67">
        <w:rPr>
          <w:color w:val="auto"/>
        </w:rPr>
        <w:t xml:space="preserve">Dessa forma, </w:t>
      </w:r>
      <w:r w:rsidR="006974EF" w:rsidRPr="00760E67">
        <w:rPr>
          <w:color w:val="auto"/>
        </w:rPr>
        <w:t xml:space="preserve">primeiramente, </w:t>
      </w:r>
      <w:r w:rsidR="00C45815" w:rsidRPr="00760E67">
        <w:rPr>
          <w:color w:val="auto"/>
        </w:rPr>
        <w:t>empenha</w:t>
      </w:r>
      <w:r w:rsidR="003F70DD" w:rsidRPr="00760E67">
        <w:rPr>
          <w:color w:val="auto"/>
        </w:rPr>
        <w:t>-se</w:t>
      </w:r>
      <w:r w:rsidR="00D037BB" w:rsidRPr="00760E67">
        <w:rPr>
          <w:color w:val="auto"/>
        </w:rPr>
        <w:t xml:space="preserve"> </w:t>
      </w:r>
      <w:r w:rsidR="003F70DD" w:rsidRPr="00760E67">
        <w:rPr>
          <w:color w:val="auto"/>
        </w:rPr>
        <w:t>em</w:t>
      </w:r>
      <w:r w:rsidR="00D037BB" w:rsidRPr="00760E67">
        <w:rPr>
          <w:color w:val="auto"/>
        </w:rPr>
        <w:t xml:space="preserve"> descr</w:t>
      </w:r>
      <w:r w:rsidR="003F70DD" w:rsidRPr="00760E67">
        <w:rPr>
          <w:color w:val="auto"/>
        </w:rPr>
        <w:t>ever</w:t>
      </w:r>
      <w:r w:rsidR="00B6770B" w:rsidRPr="00760E67">
        <w:rPr>
          <w:color w:val="auto"/>
        </w:rPr>
        <w:t xml:space="preserve"> </w:t>
      </w:r>
      <w:r w:rsidR="005B267D" w:rsidRPr="00760E67">
        <w:rPr>
          <w:color w:val="auto"/>
        </w:rPr>
        <w:t xml:space="preserve">o contexto de formação inerente a cada um dos </w:t>
      </w:r>
      <w:r w:rsidR="008D7691" w:rsidRPr="00760E67">
        <w:rPr>
          <w:color w:val="auto"/>
        </w:rPr>
        <w:t>documentos em exame, com a finalidade de situar o panorama atual das publicações</w:t>
      </w:r>
      <w:r w:rsidR="007D0CC3" w:rsidRPr="00760E67">
        <w:rPr>
          <w:color w:val="auto"/>
        </w:rPr>
        <w:t xml:space="preserve">. </w:t>
      </w:r>
      <w:r w:rsidR="00C514DB" w:rsidRPr="00760E67">
        <w:rPr>
          <w:color w:val="auto"/>
        </w:rPr>
        <w:t>Esse</w:t>
      </w:r>
      <w:r w:rsidR="007D0CC3" w:rsidRPr="00760E67">
        <w:rPr>
          <w:color w:val="auto"/>
        </w:rPr>
        <w:t xml:space="preserve"> detalhamento</w:t>
      </w:r>
      <w:r w:rsidR="00053736" w:rsidRPr="00760E67">
        <w:rPr>
          <w:color w:val="auto"/>
        </w:rPr>
        <w:t xml:space="preserve"> individual torna-se relevante para reconhecer </w:t>
      </w:r>
      <w:r w:rsidR="00DB6FF0" w:rsidRPr="00760E67">
        <w:rPr>
          <w:color w:val="auto"/>
        </w:rPr>
        <w:t xml:space="preserve">conexões e distanciamentos entre </w:t>
      </w:r>
      <w:r w:rsidR="00612A27" w:rsidRPr="00760E67">
        <w:rPr>
          <w:color w:val="auto"/>
        </w:rPr>
        <w:t>o</w:t>
      </w:r>
      <w:r w:rsidR="00E13C58" w:rsidRPr="00760E67">
        <w:rPr>
          <w:color w:val="auto"/>
        </w:rPr>
        <w:t>s</w:t>
      </w:r>
      <w:r w:rsidR="00612A27" w:rsidRPr="00760E67">
        <w:rPr>
          <w:color w:val="auto"/>
        </w:rPr>
        <w:t xml:space="preserve"> informe</w:t>
      </w:r>
      <w:r w:rsidR="00E13C58" w:rsidRPr="00760E67">
        <w:rPr>
          <w:color w:val="auto"/>
        </w:rPr>
        <w:t xml:space="preserve">s </w:t>
      </w:r>
      <w:r w:rsidR="009F18B8" w:rsidRPr="00760E67">
        <w:rPr>
          <w:color w:val="auto"/>
        </w:rPr>
        <w:t>tornados públicos</w:t>
      </w:r>
      <w:r w:rsidR="002A10A4" w:rsidRPr="00760E67">
        <w:rPr>
          <w:color w:val="auto"/>
        </w:rPr>
        <w:t>, no que tange</w:t>
      </w:r>
      <w:r w:rsidR="00D956E4" w:rsidRPr="00760E67">
        <w:rPr>
          <w:color w:val="auto"/>
        </w:rPr>
        <w:t xml:space="preserve"> à motivação, à metodologia e à abrangência</w:t>
      </w:r>
      <w:r w:rsidR="00327CA1" w:rsidRPr="00760E67">
        <w:rPr>
          <w:color w:val="auto"/>
        </w:rPr>
        <w:t xml:space="preserve"> dos relatórios.</w:t>
      </w:r>
      <w:r w:rsidR="00F51DA9" w:rsidRPr="00760E67">
        <w:rPr>
          <w:color w:val="auto"/>
        </w:rPr>
        <w:t xml:space="preserve"> Essas questões esclarecem o grau de conhecimento prévio exigido para que se compreenda a informação publicada, </w:t>
      </w:r>
      <w:r w:rsidR="00B6070A" w:rsidRPr="00760E67">
        <w:rPr>
          <w:color w:val="auto"/>
        </w:rPr>
        <w:t>do mesmo modo que</w:t>
      </w:r>
      <w:r w:rsidR="00F51DA9" w:rsidRPr="00760E67">
        <w:rPr>
          <w:color w:val="auto"/>
        </w:rPr>
        <w:t xml:space="preserve"> levantam indícios sobre como a disposição e o escopo dos dados podem influenciar no seu entendimento, fatores primordiais em se tratando d</w:t>
      </w:r>
      <w:r w:rsidR="0004158B" w:rsidRPr="00760E67">
        <w:rPr>
          <w:color w:val="auto"/>
        </w:rPr>
        <w:t>a</w:t>
      </w:r>
      <w:r w:rsidR="00DD3BB1" w:rsidRPr="00760E67">
        <w:rPr>
          <w:color w:val="auto"/>
        </w:rPr>
        <w:t xml:space="preserve"> avaliação </w:t>
      </w:r>
      <w:r w:rsidR="000720ED" w:rsidRPr="00760E67">
        <w:rPr>
          <w:color w:val="auto"/>
        </w:rPr>
        <w:t>quanto à</w:t>
      </w:r>
      <w:r w:rsidR="00F51DA9" w:rsidRPr="00760E67">
        <w:rPr>
          <w:color w:val="auto"/>
        </w:rPr>
        <w:t xml:space="preserve"> transparência.</w:t>
      </w:r>
    </w:p>
    <w:p w14:paraId="25948DC5" w14:textId="3CCACB3E" w:rsidR="00F41859" w:rsidRPr="00760E67" w:rsidRDefault="004D2CA2" w:rsidP="000B7B0D">
      <w:pPr>
        <w:rPr>
          <w:color w:val="auto"/>
        </w:rPr>
      </w:pPr>
      <w:r w:rsidRPr="00760E67">
        <w:rPr>
          <w:color w:val="auto"/>
        </w:rPr>
        <w:t>Após a exposição de cada um dos três documentos produzidos pela STN,</w:t>
      </w:r>
      <w:r w:rsidR="00CE63D5" w:rsidRPr="00760E67">
        <w:rPr>
          <w:color w:val="auto"/>
        </w:rPr>
        <w:t xml:space="preserve"> </w:t>
      </w:r>
      <w:r w:rsidR="007F1E2E" w:rsidRPr="00760E67">
        <w:rPr>
          <w:color w:val="auto"/>
        </w:rPr>
        <w:t>torna-se possível</w:t>
      </w:r>
      <w:r w:rsidR="00453412" w:rsidRPr="00760E67">
        <w:rPr>
          <w:color w:val="auto"/>
        </w:rPr>
        <w:t xml:space="preserve"> avançar para uma pesquisa descritiva</w:t>
      </w:r>
      <w:r w:rsidR="0028072A" w:rsidRPr="00760E67">
        <w:rPr>
          <w:color w:val="auto"/>
        </w:rPr>
        <w:t xml:space="preserve">, </w:t>
      </w:r>
      <w:r w:rsidR="004B13BA" w:rsidRPr="00760E67">
        <w:rPr>
          <w:color w:val="auto"/>
        </w:rPr>
        <w:t>de acordo com Santos (2004)</w:t>
      </w:r>
      <w:r w:rsidR="00C8445A">
        <w:rPr>
          <w:color w:val="auto"/>
        </w:rPr>
        <w:t>,</w:t>
      </w:r>
      <w:r w:rsidR="004B13BA" w:rsidRPr="00760E67">
        <w:rPr>
          <w:color w:val="auto"/>
        </w:rPr>
        <w:t xml:space="preserve"> </w:t>
      </w:r>
      <w:r w:rsidR="0028072A" w:rsidRPr="00760E67">
        <w:rPr>
          <w:color w:val="auto"/>
        </w:rPr>
        <w:t>em que se</w:t>
      </w:r>
      <w:r w:rsidR="007F1E2E" w:rsidRPr="00760E67">
        <w:rPr>
          <w:color w:val="auto"/>
        </w:rPr>
        <w:t xml:space="preserve"> </w:t>
      </w:r>
      <w:r w:rsidR="00F06A43" w:rsidRPr="00760E67">
        <w:rPr>
          <w:color w:val="auto"/>
        </w:rPr>
        <w:t>identifica</w:t>
      </w:r>
      <w:r w:rsidR="00281263" w:rsidRPr="00760E67">
        <w:rPr>
          <w:color w:val="auto"/>
        </w:rPr>
        <w:t xml:space="preserve"> </w:t>
      </w:r>
      <w:r w:rsidRPr="00760E67">
        <w:rPr>
          <w:color w:val="auto"/>
        </w:rPr>
        <w:t>os números apresentados pelos três relatórios analisados, referentes ao exercício de 2017</w:t>
      </w:r>
      <w:r w:rsidR="000E77BE" w:rsidRPr="00760E67">
        <w:rPr>
          <w:color w:val="auto"/>
        </w:rPr>
        <w:t>,</w:t>
      </w:r>
      <w:r w:rsidRPr="00760E67">
        <w:rPr>
          <w:color w:val="auto"/>
        </w:rPr>
        <w:t xml:space="preserve"> sobre os temas em foco (gastos com pessoal, com previdência e com investimento)</w:t>
      </w:r>
      <w:r w:rsidR="00367E2E" w:rsidRPr="00760E67">
        <w:rPr>
          <w:color w:val="auto"/>
        </w:rPr>
        <w:t xml:space="preserve"> e </w:t>
      </w:r>
      <w:r w:rsidRPr="00760E67">
        <w:rPr>
          <w:color w:val="auto"/>
        </w:rPr>
        <w:t xml:space="preserve">verifica a nomenclatura com que são </w:t>
      </w:r>
      <w:r w:rsidR="003C06F7" w:rsidRPr="00760E67">
        <w:rPr>
          <w:color w:val="auto"/>
        </w:rPr>
        <w:t>rotuladas</w:t>
      </w:r>
      <w:r w:rsidRPr="00760E67">
        <w:rPr>
          <w:color w:val="auto"/>
        </w:rPr>
        <w:t xml:space="preserve"> </w:t>
      </w:r>
      <w:r w:rsidR="005C25E4" w:rsidRPr="00760E67">
        <w:rPr>
          <w:color w:val="auto"/>
        </w:rPr>
        <w:t>ess</w:t>
      </w:r>
      <w:r w:rsidRPr="00760E67">
        <w:rPr>
          <w:color w:val="auto"/>
        </w:rPr>
        <w:t>as informações.</w:t>
      </w:r>
      <w:r w:rsidR="00EF49CB" w:rsidRPr="00760E67">
        <w:rPr>
          <w:color w:val="auto"/>
        </w:rPr>
        <w:t xml:space="preserve"> </w:t>
      </w:r>
    </w:p>
    <w:p w14:paraId="4D2983BE" w14:textId="36793A44" w:rsidR="00D24672" w:rsidRPr="00760E67" w:rsidRDefault="00C4592D" w:rsidP="000B7B0D">
      <w:pPr>
        <w:rPr>
          <w:color w:val="auto"/>
        </w:rPr>
      </w:pPr>
      <w:r w:rsidRPr="00760E67">
        <w:rPr>
          <w:color w:val="auto"/>
        </w:rPr>
        <w:t>E</w:t>
      </w:r>
      <w:r w:rsidR="00EF49CB" w:rsidRPr="00760E67">
        <w:rPr>
          <w:color w:val="auto"/>
        </w:rPr>
        <w:t xml:space="preserve">ssa </w:t>
      </w:r>
      <w:r w:rsidR="002842C2" w:rsidRPr="00760E67">
        <w:rPr>
          <w:color w:val="auto"/>
        </w:rPr>
        <w:t xml:space="preserve">pesquisa </w:t>
      </w:r>
      <w:r w:rsidR="007A591A" w:rsidRPr="00760E67">
        <w:rPr>
          <w:color w:val="auto"/>
        </w:rPr>
        <w:t>descritiva</w:t>
      </w:r>
      <w:r w:rsidR="00026A21" w:rsidRPr="00760E67">
        <w:rPr>
          <w:color w:val="auto"/>
        </w:rPr>
        <w:t xml:space="preserve"> </w:t>
      </w:r>
      <w:r w:rsidR="00344A1F" w:rsidRPr="00760E67">
        <w:rPr>
          <w:color w:val="auto"/>
        </w:rPr>
        <w:t>t</w:t>
      </w:r>
      <w:r w:rsidR="00365217" w:rsidRPr="00760E67">
        <w:rPr>
          <w:color w:val="auto"/>
        </w:rPr>
        <w:t>ambém</w:t>
      </w:r>
      <w:r w:rsidR="003564C5" w:rsidRPr="00760E67">
        <w:rPr>
          <w:color w:val="auto"/>
        </w:rPr>
        <w:t xml:space="preserve"> aponta as características de formação </w:t>
      </w:r>
      <w:r w:rsidR="004526A0" w:rsidRPr="00760E67">
        <w:rPr>
          <w:color w:val="auto"/>
        </w:rPr>
        <w:t>desses números,</w:t>
      </w:r>
      <w:r w:rsidR="00AC53BC" w:rsidRPr="00760E67">
        <w:rPr>
          <w:color w:val="auto"/>
        </w:rPr>
        <w:t xml:space="preserve"> detalhando os </w:t>
      </w:r>
      <w:r w:rsidR="00E93945" w:rsidRPr="00760E67">
        <w:rPr>
          <w:color w:val="auto"/>
        </w:rPr>
        <w:t xml:space="preserve">seus </w:t>
      </w:r>
      <w:r w:rsidR="00E00319" w:rsidRPr="00760E67">
        <w:rPr>
          <w:color w:val="auto"/>
        </w:rPr>
        <w:t xml:space="preserve">principais </w:t>
      </w:r>
      <w:r w:rsidR="00AC53BC" w:rsidRPr="00760E67">
        <w:rPr>
          <w:color w:val="auto"/>
        </w:rPr>
        <w:t>componentes</w:t>
      </w:r>
      <w:r w:rsidR="00E93945" w:rsidRPr="00760E67">
        <w:rPr>
          <w:color w:val="auto"/>
        </w:rPr>
        <w:t>,</w:t>
      </w:r>
      <w:r w:rsidR="00C218F9" w:rsidRPr="00760E67">
        <w:rPr>
          <w:color w:val="auto"/>
        </w:rPr>
        <w:t xml:space="preserve"> </w:t>
      </w:r>
      <w:r w:rsidR="00486707" w:rsidRPr="00760E67">
        <w:rPr>
          <w:color w:val="auto"/>
        </w:rPr>
        <w:t>a fim de</w:t>
      </w:r>
      <w:r w:rsidR="00F22E99" w:rsidRPr="00760E67">
        <w:rPr>
          <w:color w:val="auto"/>
        </w:rPr>
        <w:t xml:space="preserve"> descrever e compreender as semelhanças e diferenças quantitativas e qualitativas</w:t>
      </w:r>
      <w:r w:rsidR="00F41859" w:rsidRPr="00760E67">
        <w:rPr>
          <w:color w:val="auto"/>
        </w:rPr>
        <w:t xml:space="preserve"> entre</w:t>
      </w:r>
      <w:r w:rsidR="003B500A" w:rsidRPr="00760E67">
        <w:rPr>
          <w:color w:val="auto"/>
        </w:rPr>
        <w:t xml:space="preserve"> os dados divulgados</w:t>
      </w:r>
      <w:r w:rsidR="008B0ADD" w:rsidRPr="00760E67">
        <w:rPr>
          <w:color w:val="auto"/>
        </w:rPr>
        <w:t>,</w:t>
      </w:r>
      <w:r w:rsidR="003B500A" w:rsidRPr="00760E67">
        <w:rPr>
          <w:color w:val="auto"/>
        </w:rPr>
        <w:t xml:space="preserve"> por três fontes diferentes</w:t>
      </w:r>
      <w:r w:rsidR="008B0ADD" w:rsidRPr="00760E67">
        <w:rPr>
          <w:color w:val="auto"/>
        </w:rPr>
        <w:t>,</w:t>
      </w:r>
      <w:r w:rsidR="003B500A" w:rsidRPr="00760E67">
        <w:rPr>
          <w:color w:val="auto"/>
        </w:rPr>
        <w:t xml:space="preserve"> sobre um mesmo tema</w:t>
      </w:r>
      <w:r w:rsidR="00A02964" w:rsidRPr="00760E67">
        <w:rPr>
          <w:color w:val="auto"/>
        </w:rPr>
        <w:t xml:space="preserve">, evidenciando a complexidade ou a simplicidade com que os dados são </w:t>
      </w:r>
      <w:r w:rsidR="00A02964" w:rsidRPr="00760E67">
        <w:rPr>
          <w:color w:val="auto"/>
        </w:rPr>
        <w:lastRenderedPageBreak/>
        <w:t>transmitidos aos receptores da mensagem.</w:t>
      </w:r>
      <w:r w:rsidR="00F41859" w:rsidRPr="00760E67">
        <w:rPr>
          <w:color w:val="auto"/>
        </w:rPr>
        <w:t xml:space="preserve"> </w:t>
      </w:r>
      <w:r w:rsidR="008222C3" w:rsidRPr="00760E67">
        <w:rPr>
          <w:color w:val="auto"/>
        </w:rPr>
        <w:t xml:space="preserve">Todos esses elementos </w:t>
      </w:r>
      <w:r w:rsidR="00352F58" w:rsidRPr="00760E67">
        <w:rPr>
          <w:color w:val="auto"/>
        </w:rPr>
        <w:t xml:space="preserve">têm por finalidade </w:t>
      </w:r>
      <w:r w:rsidR="00832025" w:rsidRPr="00760E67">
        <w:rPr>
          <w:color w:val="auto"/>
        </w:rPr>
        <w:t>amparar</w:t>
      </w:r>
      <w:r w:rsidR="00C65C70" w:rsidRPr="00760E67">
        <w:rPr>
          <w:color w:val="auto"/>
        </w:rPr>
        <w:t xml:space="preserve"> </w:t>
      </w:r>
      <w:r w:rsidR="0035525C" w:rsidRPr="00760E67">
        <w:rPr>
          <w:color w:val="auto"/>
        </w:rPr>
        <w:t xml:space="preserve">a avaliação </w:t>
      </w:r>
      <w:r w:rsidR="00AB39A9" w:rsidRPr="00760E67">
        <w:rPr>
          <w:color w:val="auto"/>
        </w:rPr>
        <w:t>d</w:t>
      </w:r>
      <w:r w:rsidR="00E10748" w:rsidRPr="00760E67">
        <w:rPr>
          <w:color w:val="auto"/>
        </w:rPr>
        <w:t xml:space="preserve">a convergência </w:t>
      </w:r>
      <w:r w:rsidR="00642A4F" w:rsidRPr="00760E67">
        <w:rPr>
          <w:color w:val="auto"/>
        </w:rPr>
        <w:t xml:space="preserve">das informações </w:t>
      </w:r>
      <w:r w:rsidR="00352F58" w:rsidRPr="00760E67">
        <w:rPr>
          <w:color w:val="auto"/>
        </w:rPr>
        <w:t>publicadas pela STN</w:t>
      </w:r>
      <w:r w:rsidR="00375D9F" w:rsidRPr="00760E67">
        <w:rPr>
          <w:color w:val="auto"/>
        </w:rPr>
        <w:t xml:space="preserve">, isto é, </w:t>
      </w:r>
      <w:r w:rsidR="001F0CAB" w:rsidRPr="00760E67">
        <w:rPr>
          <w:color w:val="auto"/>
        </w:rPr>
        <w:t>contribuir para fins práticos, justificando a pesquisa aplicada</w:t>
      </w:r>
      <w:r w:rsidR="00B2637A" w:rsidRPr="00760E67">
        <w:rPr>
          <w:color w:val="auto"/>
        </w:rPr>
        <w:t xml:space="preserve">, segundo Cervo e </w:t>
      </w:r>
      <w:proofErr w:type="spellStart"/>
      <w:r w:rsidR="00B2637A" w:rsidRPr="00760E67">
        <w:rPr>
          <w:color w:val="auto"/>
        </w:rPr>
        <w:t>Berbian</w:t>
      </w:r>
      <w:proofErr w:type="spellEnd"/>
      <w:r w:rsidR="00B2637A" w:rsidRPr="00760E67">
        <w:rPr>
          <w:color w:val="auto"/>
        </w:rPr>
        <w:t xml:space="preserve"> (1983).</w:t>
      </w:r>
      <w:r w:rsidR="00FE04A6" w:rsidRPr="00760E67">
        <w:rPr>
          <w:color w:val="auto"/>
        </w:rPr>
        <w:t xml:space="preserve"> </w:t>
      </w:r>
      <w:r w:rsidR="004526A0" w:rsidRPr="00760E67">
        <w:rPr>
          <w:color w:val="auto"/>
        </w:rPr>
        <w:t xml:space="preserve"> </w:t>
      </w:r>
      <w:r w:rsidR="00344A1F" w:rsidRPr="00760E67">
        <w:rPr>
          <w:color w:val="auto"/>
        </w:rPr>
        <w:t xml:space="preserve"> </w:t>
      </w:r>
      <w:r w:rsidR="00516112" w:rsidRPr="00760E67">
        <w:rPr>
          <w:color w:val="auto"/>
        </w:rPr>
        <w:t xml:space="preserve"> </w:t>
      </w:r>
    </w:p>
    <w:p w14:paraId="5F7CBE0D" w14:textId="7324C07F" w:rsidR="00750325" w:rsidRPr="003C2CC1" w:rsidRDefault="003B2E46" w:rsidP="000B7B0D">
      <w:pPr>
        <w:rPr>
          <w:color w:val="FF0000"/>
        </w:rPr>
      </w:pPr>
      <w:bookmarkStart w:id="48" w:name="_Toc13455232"/>
      <w:r w:rsidRPr="003C2CC1">
        <w:t xml:space="preserve">Para </w:t>
      </w:r>
      <w:r w:rsidR="00106D3C" w:rsidRPr="003C2CC1">
        <w:t>a identificação dos números</w:t>
      </w:r>
      <w:r w:rsidR="0081685F" w:rsidRPr="003C2CC1">
        <w:t xml:space="preserve"> apresentados</w:t>
      </w:r>
      <w:r w:rsidR="001521C3" w:rsidRPr="003C2CC1">
        <w:t>, se faz necessário compatibilizar o período de observação entre os dados dos documentos. A escolha pelo exercício 2017 se dá pela restrição do Boletim dos Entes Subnacionais, que, por sua periodicidade anual e defasagem de quase um ano, foi publicado em novembro de 2018 com dados referentes à 2017. Para a compatibilização das Estatísticas Fiscais Trimestrais, totaliza-se os valores dos quatro trimestres de 2017. Em relação ao RTN, mesmo publicado mensalmente, ele apresenta a série histórica anual a valores correntes, inclusive a de 2017.</w:t>
      </w:r>
      <w:bookmarkEnd w:id="48"/>
      <w:r w:rsidR="001521C3" w:rsidRPr="003C2CC1">
        <w:t xml:space="preserve"> </w:t>
      </w:r>
    </w:p>
    <w:p w14:paraId="46786379" w14:textId="5937532E" w:rsidR="00750325" w:rsidRPr="003C2CC1" w:rsidRDefault="00750325" w:rsidP="000B7B0D">
      <w:bookmarkStart w:id="49" w:name="_Toc13455233"/>
      <w:r w:rsidRPr="003C2CC1">
        <w:t xml:space="preserve">Além disso, optou-se por segregar os dados por esfera </w:t>
      </w:r>
      <w:r w:rsidR="00647809" w:rsidRPr="003C2CC1">
        <w:t xml:space="preserve">de governo </w:t>
      </w:r>
      <w:r w:rsidRPr="003C2CC1">
        <w:t>(federal, estadual e municipal), devido à diferença de abrangência entre os documentos. Diante disso, a comparação se dá, essencialmente, entre dois grupos de documentos: a) RTN e Estatísticas Fiscais Trimestrais, no que tange ao governo central; e b) Boletim dos Entes Subnacionais e Estatísticas Fiscais Trimestrais, quando se trata dos governos estaduais e municipais.</w:t>
      </w:r>
      <w:bookmarkEnd w:id="49"/>
      <w:r w:rsidRPr="003C2CC1">
        <w:t xml:space="preserve">  </w:t>
      </w:r>
    </w:p>
    <w:p w14:paraId="138CFEF0" w14:textId="3C3173A9" w:rsidR="00750325" w:rsidRPr="003C2CC1" w:rsidRDefault="00750325" w:rsidP="000B7B0D">
      <w:bookmarkStart w:id="50" w:name="_Toc13455234"/>
      <w:r w:rsidRPr="003C2CC1">
        <w:t xml:space="preserve">De forma complementar, a fim de se concentrar somente na análise da composição dos itens, cabe demarcar os diferentes momentos em que há o registro da despesa nas publicações. No RTN, contabiliza-se pelo regime de caixa, ou seja, </w:t>
      </w:r>
      <w:r w:rsidR="00C036E2" w:rsidRPr="003C2CC1">
        <w:t>pela</w:t>
      </w:r>
      <w:r w:rsidRPr="003C2CC1">
        <w:t xml:space="preserve"> ocorrência do pagamento efetivo da despesa. No Boletim, o registro acontece pelo empenho da despesa, </w:t>
      </w:r>
      <w:r w:rsidR="00764F9B" w:rsidRPr="003C2CC1">
        <w:t>isto é</w:t>
      </w:r>
      <w:r w:rsidR="00B4590A" w:rsidRPr="003C2CC1">
        <w:t xml:space="preserve"> – </w:t>
      </w:r>
      <w:r w:rsidR="00061DF2" w:rsidRPr="003C2CC1">
        <w:t xml:space="preserve">pela definição </w:t>
      </w:r>
      <w:r w:rsidR="007145FB" w:rsidRPr="003C2CC1">
        <w:t>exposta na Lei nº 4.320/64</w:t>
      </w:r>
      <w:r w:rsidR="00B4590A" w:rsidRPr="003C2CC1">
        <w:t xml:space="preserve"> –</w:t>
      </w:r>
      <w:r w:rsidR="007145FB" w:rsidRPr="003C2CC1">
        <w:t xml:space="preserve">, </w:t>
      </w:r>
      <w:r w:rsidRPr="003C2CC1">
        <w:t>quando o ente cria para si a obrigação de pagamento pendente ou não de implemento de condição, antes mesmo de verificar</w:t>
      </w:r>
      <w:r w:rsidR="00CE50A8" w:rsidRPr="003C2CC1">
        <w:rPr>
          <w:rStyle w:val="Refdenotaderodap"/>
        </w:rPr>
        <w:footnoteReference w:id="3"/>
      </w:r>
      <w:r w:rsidRPr="003C2CC1">
        <w:t xml:space="preserve"> a efetiva prestação do serviço ou a entrega do produto. No entanto, vale ressaltar que alguns indicadores, como o resultado primário, são apresentados tanto com base na despesa empenhada, quanto na paga. Em relação às Estatísticas Fiscais Trimestrais, busca-se uma proxy do regime de competência, alcançado ao se somar os valores liquidados do exercício corrente com os restos a pagar</w:t>
      </w:r>
      <w:r w:rsidR="004C20FC" w:rsidRPr="003C2CC1">
        <w:rPr>
          <w:rStyle w:val="Refdenotaderodap"/>
        </w:rPr>
        <w:footnoteReference w:id="4"/>
      </w:r>
      <w:r w:rsidR="00533DCC">
        <w:t xml:space="preserve"> </w:t>
      </w:r>
      <w:r w:rsidRPr="003C2CC1">
        <w:t>não processados de exercícios anteriores pagos.</w:t>
      </w:r>
      <w:bookmarkEnd w:id="50"/>
    </w:p>
    <w:p w14:paraId="68B6749B" w14:textId="3AA4591E" w:rsidR="001412FF" w:rsidRPr="005F17E0" w:rsidRDefault="001412FF" w:rsidP="000B7B0D"/>
    <w:p w14:paraId="3D1C8270" w14:textId="27930821" w:rsidR="00C60BD4" w:rsidRDefault="00C60BD4" w:rsidP="000B7B0D"/>
    <w:p w14:paraId="4EAB9B7A" w14:textId="287867B8" w:rsidR="00EA5406" w:rsidRDefault="00EA5406" w:rsidP="000B7B0D"/>
    <w:p w14:paraId="6A7F2A60" w14:textId="70B34677" w:rsidR="00F24D81" w:rsidRDefault="00C50B85" w:rsidP="007F0C67">
      <w:pPr>
        <w:pStyle w:val="Ttulo1"/>
      </w:pPr>
      <w:bookmarkStart w:id="51" w:name="_Toc16087695"/>
      <w:r>
        <w:lastRenderedPageBreak/>
        <w:t>3</w:t>
      </w:r>
      <w:r w:rsidR="00423C1D">
        <w:t>.</w:t>
      </w:r>
      <w:r w:rsidR="00EA1DB8" w:rsidRPr="003F5B1F">
        <w:t xml:space="preserve"> PANORAMA ATUAL DOS RELATÓRIOS</w:t>
      </w:r>
      <w:bookmarkEnd w:id="51"/>
    </w:p>
    <w:p w14:paraId="28A3371C" w14:textId="77777777" w:rsidR="00423C1D" w:rsidRPr="00423C1D" w:rsidRDefault="00423C1D" w:rsidP="00423C1D"/>
    <w:p w14:paraId="051AD94C" w14:textId="3D695A40" w:rsidR="008B6E83" w:rsidRDefault="00C50B85" w:rsidP="007F0C67">
      <w:pPr>
        <w:pStyle w:val="Ttulo2"/>
      </w:pPr>
      <w:bookmarkStart w:id="52" w:name="_Toc16087696"/>
      <w:r>
        <w:t>3</w:t>
      </w:r>
      <w:r w:rsidR="000D4955" w:rsidRPr="000D4955">
        <w:t>.1</w:t>
      </w:r>
      <w:r w:rsidR="00423C1D">
        <w:t>.</w:t>
      </w:r>
      <w:r w:rsidR="000D4955" w:rsidRPr="000D4955">
        <w:t xml:space="preserve"> </w:t>
      </w:r>
      <w:r w:rsidR="00FB7C00" w:rsidRPr="000D4955">
        <w:t>Resultado do Tesouro Nacional</w:t>
      </w:r>
      <w:bookmarkEnd w:id="52"/>
      <w:r w:rsidR="00FB7C00" w:rsidRPr="000D4955">
        <w:t xml:space="preserve"> </w:t>
      </w:r>
    </w:p>
    <w:p w14:paraId="6563B6D1" w14:textId="77777777" w:rsidR="00423C1D" w:rsidRPr="00423C1D" w:rsidRDefault="00423C1D" w:rsidP="00423C1D"/>
    <w:p w14:paraId="7376D42F" w14:textId="0DB8196D" w:rsidR="00B83E1C" w:rsidRDefault="00E26F01" w:rsidP="000B7B0D">
      <w:r w:rsidRPr="003F5B1F">
        <w:t xml:space="preserve">O Resultado do Tesouro Nacional (RTN) é um relatório publicado mensalmente pela Secretaria do Tesouro Nacional (STN), desde 1995, como parte da sua responsabilidade em divulgar estatísticas fiscais do Governo Central. A metodologia de apuração dos resultados é baseada no Manual de Estatísticas de Finanças Públicas de 1986 </w:t>
      </w:r>
      <w:r w:rsidR="00D73F49" w:rsidRPr="003F5B1F">
        <w:t xml:space="preserve">– </w:t>
      </w:r>
      <w:r w:rsidR="00991410" w:rsidRPr="003F5B1F">
        <w:t>MEFP 1986</w:t>
      </w:r>
      <w:r w:rsidR="008F2EFC" w:rsidRPr="003F5B1F">
        <w:t xml:space="preserve">, </w:t>
      </w:r>
      <w:r w:rsidR="00805D19" w:rsidRPr="003F5B1F">
        <w:t xml:space="preserve">cujas informações e sigla </w:t>
      </w:r>
      <w:r w:rsidR="00475327" w:rsidRPr="003F5B1F">
        <w:t>vêm da</w:t>
      </w:r>
      <w:r w:rsidR="00654307" w:rsidRPr="003F5B1F">
        <w:t xml:space="preserve"> tradução </w:t>
      </w:r>
      <w:r w:rsidR="00DD1A5F" w:rsidRPr="003F5B1F">
        <w:t>d</w:t>
      </w:r>
      <w:r w:rsidR="009117CE" w:rsidRPr="003F5B1F">
        <w:t>a publicação</w:t>
      </w:r>
      <w:r w:rsidR="00557A75" w:rsidRPr="003F5B1F">
        <w:t xml:space="preserve"> </w:t>
      </w:r>
      <w:r w:rsidR="00034A84" w:rsidRPr="003F5B1F">
        <w:t>original</w:t>
      </w:r>
      <w:r w:rsidRPr="003F5B1F">
        <w:t xml:space="preserve"> </w:t>
      </w:r>
      <w:proofErr w:type="spellStart"/>
      <w:r w:rsidRPr="003F5B1F">
        <w:rPr>
          <w:i/>
        </w:rPr>
        <w:t>Government</w:t>
      </w:r>
      <w:proofErr w:type="spellEnd"/>
      <w:r w:rsidRPr="003F5B1F">
        <w:rPr>
          <w:i/>
        </w:rPr>
        <w:t xml:space="preserve"> </w:t>
      </w:r>
      <w:proofErr w:type="spellStart"/>
      <w:r w:rsidRPr="003F5B1F">
        <w:rPr>
          <w:i/>
        </w:rPr>
        <w:t>Finance</w:t>
      </w:r>
      <w:proofErr w:type="spellEnd"/>
      <w:r w:rsidRPr="003F5B1F">
        <w:rPr>
          <w:i/>
        </w:rPr>
        <w:t xml:space="preserve"> </w:t>
      </w:r>
      <w:proofErr w:type="spellStart"/>
      <w:r w:rsidRPr="003F5B1F">
        <w:rPr>
          <w:i/>
        </w:rPr>
        <w:t>Statistic</w:t>
      </w:r>
      <w:proofErr w:type="spellEnd"/>
      <w:r w:rsidRPr="003F5B1F">
        <w:rPr>
          <w:i/>
        </w:rPr>
        <w:t xml:space="preserve"> Manual</w:t>
      </w:r>
      <w:r w:rsidR="003A5B31" w:rsidRPr="003F5B1F">
        <w:rPr>
          <w:i/>
        </w:rPr>
        <w:t xml:space="preserve"> </w:t>
      </w:r>
      <w:r w:rsidR="002E359F" w:rsidRPr="003F5B1F">
        <w:rPr>
          <w:i/>
        </w:rPr>
        <w:t>–</w:t>
      </w:r>
      <w:r w:rsidR="003A5B31" w:rsidRPr="003F5B1F">
        <w:rPr>
          <w:i/>
        </w:rPr>
        <w:t xml:space="preserve"> GFSM</w:t>
      </w:r>
      <w:r w:rsidR="002E359F" w:rsidRPr="003F5B1F">
        <w:rPr>
          <w:i/>
        </w:rPr>
        <w:t xml:space="preserve"> 1986</w:t>
      </w:r>
      <w:r w:rsidRPr="003F5B1F">
        <w:t xml:space="preserve">. </w:t>
      </w:r>
    </w:p>
    <w:p w14:paraId="6AB42BB5" w14:textId="77777777" w:rsidR="00423C1D" w:rsidRPr="003F5B1F" w:rsidRDefault="00423C1D" w:rsidP="000B7B0D"/>
    <w:p w14:paraId="6D2939D8" w14:textId="4CB078E4" w:rsidR="00B83E1C" w:rsidRDefault="00C50B85" w:rsidP="007F0C67">
      <w:pPr>
        <w:pStyle w:val="Ttulo3"/>
      </w:pPr>
      <w:bookmarkStart w:id="53" w:name="_Toc16087697"/>
      <w:r>
        <w:t>3</w:t>
      </w:r>
      <w:r w:rsidR="00B83E1C" w:rsidRPr="000D4955">
        <w:t>.1</w:t>
      </w:r>
      <w:r w:rsidR="00F504AD" w:rsidRPr="000D4955">
        <w:t>.1</w:t>
      </w:r>
      <w:r w:rsidR="00423C1D">
        <w:t>.</w:t>
      </w:r>
      <w:r w:rsidR="00B83E1C" w:rsidRPr="000D4955">
        <w:t xml:space="preserve"> </w:t>
      </w:r>
      <w:r w:rsidR="00681C09" w:rsidRPr="000D4955">
        <w:t xml:space="preserve">Contexto: </w:t>
      </w:r>
      <w:r w:rsidR="00475327" w:rsidRPr="000D4955">
        <w:t>MEFP</w:t>
      </w:r>
      <w:r w:rsidR="00B83E1C" w:rsidRPr="000D4955">
        <w:t xml:space="preserve"> 1986</w:t>
      </w:r>
      <w:bookmarkEnd w:id="53"/>
    </w:p>
    <w:p w14:paraId="291AAEE0" w14:textId="77777777" w:rsidR="00423C1D" w:rsidRPr="00423C1D" w:rsidRDefault="00423C1D" w:rsidP="00423C1D"/>
    <w:p w14:paraId="4DBB06ED" w14:textId="6DBDDD27" w:rsidR="009B00B2" w:rsidRPr="003F5B1F" w:rsidRDefault="00A97B61" w:rsidP="000B7B0D">
      <w:r w:rsidRPr="003F5B1F">
        <w:t>Elaborad</w:t>
      </w:r>
      <w:r w:rsidR="00C622C8" w:rsidRPr="003F5B1F">
        <w:t>o</w:t>
      </w:r>
      <w:r w:rsidR="009B00B2" w:rsidRPr="003F5B1F">
        <w:t xml:space="preserve"> pelo FMI, </w:t>
      </w:r>
      <w:r w:rsidR="003972E2" w:rsidRPr="003F5B1F">
        <w:t>o lançamento</w:t>
      </w:r>
      <w:r w:rsidR="009B00B2" w:rsidRPr="003F5B1F">
        <w:t xml:space="preserve"> do MEFP 1986 </w:t>
      </w:r>
      <w:r w:rsidR="0071344B" w:rsidRPr="003F5B1F">
        <w:t>almeja</w:t>
      </w:r>
      <w:r w:rsidR="009B00B2" w:rsidRPr="003F5B1F">
        <w:t xml:space="preserve"> a </w:t>
      </w:r>
      <w:r w:rsidR="004E656D" w:rsidRPr="003F5B1F">
        <w:t>organização e harmonização</w:t>
      </w:r>
      <w:r w:rsidR="003E33D7" w:rsidRPr="003F5B1F">
        <w:t xml:space="preserve"> internacional da mensuração da atividade do governo na economia</w:t>
      </w:r>
      <w:r w:rsidR="007B7E7F" w:rsidRPr="003F5B1F">
        <w:t xml:space="preserve">, </w:t>
      </w:r>
      <w:r w:rsidR="00874F1C" w:rsidRPr="003F5B1F">
        <w:t xml:space="preserve">ou seja, a </w:t>
      </w:r>
      <w:r w:rsidR="009B00B2" w:rsidRPr="003F5B1F">
        <w:t>consolidação de estatísticas de finanças públicas, tendo em vista o papel relevante do Governo na maioria das economias</w:t>
      </w:r>
      <w:r w:rsidR="000B0659" w:rsidRPr="003F5B1F">
        <w:t xml:space="preserve"> do mundo</w:t>
      </w:r>
      <w:r w:rsidR="009B00B2" w:rsidRPr="003F5B1F">
        <w:t xml:space="preserve">. </w:t>
      </w:r>
      <w:r w:rsidR="00CC2F1D" w:rsidRPr="003F5B1F">
        <w:t>A primeira</w:t>
      </w:r>
      <w:r w:rsidR="0068735C" w:rsidRPr="003F5B1F">
        <w:t xml:space="preserve"> tentativa do FMI </w:t>
      </w:r>
      <w:r w:rsidR="00CC2F1D" w:rsidRPr="003F5B1F">
        <w:t>em</w:t>
      </w:r>
      <w:r w:rsidR="0068735C" w:rsidRPr="003F5B1F">
        <w:t xml:space="preserve"> compilar as diretrizes de estatísticas internacionais de finanças públicas</w:t>
      </w:r>
      <w:r w:rsidR="00AC1EAA" w:rsidRPr="003F5B1F">
        <w:t xml:space="preserve"> ocorreu nos anos 1970</w:t>
      </w:r>
      <w:r w:rsidR="0068735C" w:rsidRPr="003F5B1F">
        <w:t xml:space="preserve">, </w:t>
      </w:r>
      <w:r w:rsidR="00AC1EAA" w:rsidRPr="003F5B1F">
        <w:t xml:space="preserve">quando </w:t>
      </w:r>
      <w:r w:rsidR="00F91F3B" w:rsidRPr="003F5B1F">
        <w:t>o</w:t>
      </w:r>
      <w:r w:rsidR="009B00B2" w:rsidRPr="003F5B1F">
        <w:t xml:space="preserve"> manual teve uma versão preliminar. Com base nos comentários e revisões recebidos, foi desenvolvido o manual de 1986 de forma mais estruturada.</w:t>
      </w:r>
    </w:p>
    <w:p w14:paraId="1B057EE7" w14:textId="28F604E0" w:rsidR="009B00B2" w:rsidRPr="003F5B1F" w:rsidRDefault="009B00B2" w:rsidP="000B7B0D">
      <w:r w:rsidRPr="003F5B1F">
        <w:t>Diferentemente do modelo de contas nacionais</w:t>
      </w:r>
      <w:r w:rsidR="00AB4016">
        <w:rPr>
          <w:rStyle w:val="Refdenotaderodap"/>
        </w:rPr>
        <w:footnoteReference w:id="5"/>
      </w:r>
      <w:r w:rsidRPr="003F5B1F">
        <w:t xml:space="preserve">, </w:t>
      </w:r>
      <w:r w:rsidR="002C7C0D" w:rsidRPr="003F5B1F">
        <w:t>que estabelece</w:t>
      </w:r>
      <w:r w:rsidRPr="003F5B1F">
        <w:t xml:space="preserve"> medidas de volume físico, como produção de bens ou utilização da força de trabalho, </w:t>
      </w:r>
      <w:r w:rsidR="002C7C0D" w:rsidRPr="003F5B1F">
        <w:t xml:space="preserve">a metodologia proposta no manual do FMI em 1986 </w:t>
      </w:r>
      <w:r w:rsidR="00B90887" w:rsidRPr="003F5B1F">
        <w:t xml:space="preserve">se preocupa com </w:t>
      </w:r>
      <w:r w:rsidR="002D02E4" w:rsidRPr="003F5B1F">
        <w:t xml:space="preserve">a gestão da liquidez de curto prazo, </w:t>
      </w:r>
      <w:r w:rsidR="00542A55" w:rsidRPr="003F5B1F">
        <w:t>focando</w:t>
      </w:r>
      <w:r w:rsidRPr="003F5B1F">
        <w:t xml:space="preserve"> </w:t>
      </w:r>
      <w:r w:rsidR="00542A55" w:rsidRPr="003F5B1F">
        <w:t>nas</w:t>
      </w:r>
      <w:r w:rsidRPr="003F5B1F">
        <w:t xml:space="preserve"> </w:t>
      </w:r>
      <w:r w:rsidR="000D4BCA" w:rsidRPr="003F5B1F">
        <w:t>entradas (receitas) e saídas (despesas)</w:t>
      </w:r>
      <w:r w:rsidR="00C81A5F" w:rsidRPr="003F5B1F">
        <w:t xml:space="preserve"> da conta do governo</w:t>
      </w:r>
      <w:r w:rsidRPr="003F5B1F">
        <w:t xml:space="preserve">, tais como tributações, gastos ou empréstimos. Por outro lado, é desejável que as estatísticas de finanças do governo sigam as convenções e classificações utilizadas na construção das contas nacionais. Dessa forma, o manual fornece dados importantes para complementar as informações de contas nacionais e </w:t>
      </w:r>
      <w:r w:rsidRPr="003F5B1F">
        <w:lastRenderedPageBreak/>
        <w:t>contribui na sumarização e organização das estatísticas fiscais, o que facilita análises, planejamentos e tomadas de decisões políticas, bem como a comparação entre diversos países.</w:t>
      </w:r>
    </w:p>
    <w:p w14:paraId="1C08F7F4" w14:textId="0836CD06" w:rsidR="00B83E1C" w:rsidRDefault="009B00B2" w:rsidP="000B7B0D">
      <w:r w:rsidRPr="003F5B1F">
        <w:t xml:space="preserve">Como o próprio MEFP 1986 explica, enquanto o modelo de contas nacionais busca medir toda a produção, renda, consumo, capital acumulado e financiamento surgido durante o período atual, a partir de despesas correntes do passado (sobre bens de capital) ou do futuro (sobre pensões não financiadas), o MEFP 1986 </w:t>
      </w:r>
      <w:r w:rsidR="00F3405A" w:rsidRPr="003F5B1F">
        <w:t>se concentra</w:t>
      </w:r>
      <w:r w:rsidRPr="003F5B1F">
        <w:t xml:space="preserve"> </w:t>
      </w:r>
      <w:r w:rsidR="00F3405A" w:rsidRPr="003F5B1F">
        <w:t xml:space="preserve">apenas </w:t>
      </w:r>
      <w:r w:rsidRPr="003F5B1F">
        <w:t xml:space="preserve">nos gastos realizados no período atual. Essa diferença também mostra </w:t>
      </w:r>
      <w:r w:rsidR="00E9541E" w:rsidRPr="003F5B1F">
        <w:t>a perspectiva</w:t>
      </w:r>
      <w:r w:rsidRPr="003F5B1F">
        <w:t xml:space="preserve"> de regime de caixa do MEFP</w:t>
      </w:r>
      <w:r w:rsidR="00F01AEC">
        <w:t xml:space="preserve"> 1986</w:t>
      </w:r>
      <w:r w:rsidRPr="003F5B1F">
        <w:t xml:space="preserve">, isto é, a mensuração das estatísticas de finanças públicas é definida pelo período em que a administração pública de fato efetuou o pagamento ou recebeu os recursos, independentemente de o fato gerador ter ocorrido no mesmo período ou não. </w:t>
      </w:r>
    </w:p>
    <w:p w14:paraId="6C07DB77" w14:textId="77777777" w:rsidR="00310DE9" w:rsidRPr="003F5B1F" w:rsidRDefault="00310DE9" w:rsidP="000B7B0D"/>
    <w:p w14:paraId="7A1405A3" w14:textId="2F7ABD44" w:rsidR="00B83E1C" w:rsidRDefault="00C50B85" w:rsidP="007F0C67">
      <w:pPr>
        <w:pStyle w:val="Ttulo3"/>
      </w:pPr>
      <w:bookmarkStart w:id="54" w:name="_Toc16087698"/>
      <w:r>
        <w:t>3</w:t>
      </w:r>
      <w:r w:rsidR="00B83E1C" w:rsidRPr="000D4955">
        <w:t>.1</w:t>
      </w:r>
      <w:r w:rsidR="007D78B6" w:rsidRPr="000D4955">
        <w:t>.2</w:t>
      </w:r>
      <w:r w:rsidR="00B83E1C" w:rsidRPr="000D4955">
        <w:t xml:space="preserve"> </w:t>
      </w:r>
      <w:r w:rsidR="00237115" w:rsidRPr="000D4955">
        <w:t>Principais características</w:t>
      </w:r>
      <w:bookmarkEnd w:id="54"/>
    </w:p>
    <w:p w14:paraId="12BBB199" w14:textId="77777777" w:rsidR="00310DE9" w:rsidRPr="00310DE9" w:rsidRDefault="00310DE9" w:rsidP="00310DE9"/>
    <w:p w14:paraId="061B903B" w14:textId="3EF577AF" w:rsidR="00C6582C" w:rsidRPr="003F5B1F" w:rsidRDefault="00BD1618" w:rsidP="000B7B0D">
      <w:r w:rsidRPr="003F5B1F">
        <w:t>O</w:t>
      </w:r>
      <w:r w:rsidR="00E26F01" w:rsidRPr="003F5B1F">
        <w:t xml:space="preserve"> RTN </w:t>
      </w:r>
      <w:r w:rsidRPr="003F5B1F">
        <w:t>apura</w:t>
      </w:r>
      <w:r w:rsidR="00E26F01" w:rsidRPr="003F5B1F">
        <w:t xml:space="preserve"> o resultado primário </w:t>
      </w:r>
      <w:r w:rsidR="004933C3" w:rsidRPr="003F5B1F">
        <w:t xml:space="preserve">mensal do Governo </w:t>
      </w:r>
      <w:r w:rsidR="00F957B0" w:rsidRPr="003F5B1F">
        <w:t>Central</w:t>
      </w:r>
      <w:r w:rsidR="007841D7" w:rsidRPr="003F5B1F">
        <w:t xml:space="preserve">, sob a ótica </w:t>
      </w:r>
      <w:r w:rsidR="00A477CE" w:rsidRPr="003F5B1F">
        <w:t>da metodologia “acima da linha”</w:t>
      </w:r>
      <w:r w:rsidR="00772470" w:rsidRPr="003F5B1F">
        <w:t xml:space="preserve"> e utilizando </w:t>
      </w:r>
      <w:r w:rsidR="00616613" w:rsidRPr="003F5B1F">
        <w:t>o critério</w:t>
      </w:r>
      <w:r w:rsidR="00D72E81" w:rsidRPr="003F5B1F">
        <w:t xml:space="preserve"> de contabilização</w:t>
      </w:r>
      <w:r w:rsidR="00616613" w:rsidRPr="003F5B1F">
        <w:t xml:space="preserve"> d</w:t>
      </w:r>
      <w:r w:rsidR="002968B2" w:rsidRPr="003F5B1F">
        <w:t>e</w:t>
      </w:r>
      <w:r w:rsidR="00616613" w:rsidRPr="003F5B1F">
        <w:t xml:space="preserve"> regime de caixa</w:t>
      </w:r>
      <w:r w:rsidR="00E26F01" w:rsidRPr="003F5B1F">
        <w:t xml:space="preserve">. </w:t>
      </w:r>
      <w:r w:rsidR="00C6582C" w:rsidRPr="003F5B1F">
        <w:t>Por Governo Central</w:t>
      </w:r>
      <w:r w:rsidR="00B249A1" w:rsidRPr="003F5B1F">
        <w:t>,</w:t>
      </w:r>
      <w:r w:rsidR="00C6582C" w:rsidRPr="003F5B1F">
        <w:t xml:space="preserve"> entende</w:t>
      </w:r>
      <w:r w:rsidR="00756359" w:rsidRPr="003F5B1F">
        <w:t>m</w:t>
      </w:r>
      <w:r w:rsidR="00C6582C" w:rsidRPr="003F5B1F">
        <w:t>-se</w:t>
      </w:r>
      <w:r w:rsidR="00A4197B" w:rsidRPr="003F5B1F">
        <w:t xml:space="preserve"> as contas da </w:t>
      </w:r>
      <w:r w:rsidR="00C6582C" w:rsidRPr="003F5B1F">
        <w:t>administraç</w:t>
      </w:r>
      <w:r w:rsidR="00A4197B" w:rsidRPr="003F5B1F">
        <w:t>ão</w:t>
      </w:r>
      <w:r w:rsidR="00C6582C" w:rsidRPr="003F5B1F">
        <w:t xml:space="preserve"> federa</w:t>
      </w:r>
      <w:r w:rsidR="00A4197B" w:rsidRPr="003F5B1F">
        <w:t>l</w:t>
      </w:r>
      <w:r w:rsidR="00C6582C" w:rsidRPr="003F5B1F">
        <w:t xml:space="preserve"> (</w:t>
      </w:r>
      <w:r w:rsidR="002475B1" w:rsidRPr="003F5B1F">
        <w:t>conhecid</w:t>
      </w:r>
      <w:r w:rsidR="003F2D5E" w:rsidRPr="003F5B1F">
        <w:t>as como resultado do Tesouro Nacional</w:t>
      </w:r>
      <w:r w:rsidR="00C6582C" w:rsidRPr="003F5B1F">
        <w:t xml:space="preserve">), </w:t>
      </w:r>
      <w:r w:rsidR="00756359" w:rsidRPr="003F5B1F">
        <w:t>d</w:t>
      </w:r>
      <w:r w:rsidR="00C6582C" w:rsidRPr="003F5B1F">
        <w:t xml:space="preserve">o Banco Central (BCB) e </w:t>
      </w:r>
      <w:r w:rsidR="00E20FB9" w:rsidRPr="003F5B1F">
        <w:t>d</w:t>
      </w:r>
      <w:r w:rsidR="00775E03" w:rsidRPr="003F5B1F">
        <w:t xml:space="preserve">o sistema público de previdência para o setor privado </w:t>
      </w:r>
      <w:r w:rsidR="00C6582C" w:rsidRPr="003F5B1F">
        <w:t>(</w:t>
      </w:r>
      <w:r w:rsidR="00775E03" w:rsidRPr="003F5B1F">
        <w:t>INSS</w:t>
      </w:r>
      <w:r w:rsidR="00C6582C" w:rsidRPr="003F5B1F">
        <w:t>).</w:t>
      </w:r>
      <w:r w:rsidR="002E798F" w:rsidRPr="003F5B1F">
        <w:t xml:space="preserve"> </w:t>
      </w:r>
      <w:r w:rsidR="00695573" w:rsidRPr="003F5B1F">
        <w:t xml:space="preserve">Em relação a </w:t>
      </w:r>
      <w:r w:rsidR="00175458" w:rsidRPr="003F5B1F">
        <w:t>esse último item, v</w:t>
      </w:r>
      <w:r w:rsidR="002E798F" w:rsidRPr="003F5B1F">
        <w:t xml:space="preserve">ale ressaltar </w:t>
      </w:r>
      <w:r w:rsidR="00FC0F6F" w:rsidRPr="003F5B1F">
        <w:t xml:space="preserve">que o resultado do Tesouro Nacional </w:t>
      </w:r>
      <w:r w:rsidR="00695573" w:rsidRPr="003F5B1F">
        <w:t xml:space="preserve">inclui </w:t>
      </w:r>
      <w:r w:rsidR="00175458" w:rsidRPr="003F5B1F">
        <w:t xml:space="preserve">também </w:t>
      </w:r>
      <w:r w:rsidR="00E676F8" w:rsidRPr="003F5B1F">
        <w:t>o resultado do regime previdenciário dos servidores públicos federais.</w:t>
      </w:r>
    </w:p>
    <w:p w14:paraId="6F61958B" w14:textId="3B31F1F1" w:rsidR="00E26F01" w:rsidRPr="003F5B1F" w:rsidRDefault="00E26F01" w:rsidP="000B7B0D">
      <w:r w:rsidRPr="003F5B1F">
        <w:t xml:space="preserve">O resultado primário é um relevante indicador da saúde fiscal do governo, indicando o esforço </w:t>
      </w:r>
      <w:r w:rsidR="004C376F" w:rsidRPr="003F5B1F">
        <w:t xml:space="preserve">do ente </w:t>
      </w:r>
      <w:r w:rsidRPr="003F5B1F">
        <w:t xml:space="preserve">para manter a dívida pública controlável. A sua divulgação reforça a transparência dos dados fiscais e ajuda na tomada de decisão por parte dos agentes econômicos, bem como possibilita a construção de cenários para as contas públicas. </w:t>
      </w:r>
    </w:p>
    <w:p w14:paraId="26072016" w14:textId="09D9865D" w:rsidR="00E26F01" w:rsidRPr="003F5B1F" w:rsidRDefault="00BC3AA8" w:rsidP="000B7B0D">
      <w:r w:rsidRPr="003F5B1F">
        <w:t xml:space="preserve">Em termos </w:t>
      </w:r>
      <w:r w:rsidR="008A7AFA" w:rsidRPr="003F5B1F">
        <w:t>operacionais, o</w:t>
      </w:r>
      <w:r w:rsidR="00E26F01" w:rsidRPr="003F5B1F">
        <w:t xml:space="preserve"> resultado primário pode ser entendido como a diferença entre receitas e despesas não financeiras – não considerando os </w:t>
      </w:r>
      <w:r w:rsidR="00A2671E" w:rsidRPr="003F5B1F">
        <w:t>rendimentos das aplicações financeiras</w:t>
      </w:r>
      <w:r w:rsidR="00FF1AC2" w:rsidRPr="003F5B1F">
        <w:t xml:space="preserve"> e o pagamento de</w:t>
      </w:r>
      <w:r w:rsidR="00A2671E" w:rsidRPr="003F5B1F">
        <w:t xml:space="preserve"> </w:t>
      </w:r>
      <w:r w:rsidR="00E26F01" w:rsidRPr="003F5B1F">
        <w:t>juros</w:t>
      </w:r>
      <w:r w:rsidR="00A2671E" w:rsidRPr="003F5B1F">
        <w:t>, amortizações, entre outros</w:t>
      </w:r>
      <w:r w:rsidR="00E26F01" w:rsidRPr="003F5B1F">
        <w:t xml:space="preserve">. Pode ser superavitário – se a diferença for positiva – ou deficitário – caso contrário. A ideia é a de que um déficit indique </w:t>
      </w:r>
      <w:r w:rsidR="00486A6F" w:rsidRPr="003F5B1F">
        <w:t xml:space="preserve">a necessidade de </w:t>
      </w:r>
      <w:r w:rsidR="00E26F01" w:rsidRPr="003F5B1F">
        <w:t>endividamento novo</w:t>
      </w:r>
      <w:r w:rsidR="005D7931" w:rsidRPr="003F5B1F">
        <w:t>, enquanto</w:t>
      </w:r>
      <w:r w:rsidR="00E26F01" w:rsidRPr="003F5B1F">
        <w:t xml:space="preserve"> um superávit </w:t>
      </w:r>
      <w:r w:rsidR="005D7931" w:rsidRPr="003F5B1F">
        <w:t xml:space="preserve">pode </w:t>
      </w:r>
      <w:r w:rsidR="00EC59B1" w:rsidRPr="003F5B1F">
        <w:t>refletir</w:t>
      </w:r>
      <w:r w:rsidR="00E26F01" w:rsidRPr="003F5B1F">
        <w:t xml:space="preserve"> </w:t>
      </w:r>
      <w:r w:rsidR="00EC59B1" w:rsidRPr="003F5B1F">
        <w:t>n</w:t>
      </w:r>
      <w:r w:rsidR="00E26F01" w:rsidRPr="003F5B1F">
        <w:t>a diminuição do estoque de dívida pública, uma vez que os juros são reflexo</w:t>
      </w:r>
      <w:r w:rsidR="0044207D" w:rsidRPr="003F5B1F">
        <w:t>s</w:t>
      </w:r>
      <w:r w:rsidR="00E26F01" w:rsidRPr="003F5B1F">
        <w:t xml:space="preserve"> de dívidas passadas. Dessa forma, o resultado primário é um importante indicador do esforço do governo em manter a dívida pública sob controle.</w:t>
      </w:r>
    </w:p>
    <w:p w14:paraId="752F0425" w14:textId="0D734AFC" w:rsidR="00CF097C" w:rsidRPr="003F5B1F" w:rsidRDefault="009B7166" w:rsidP="000B7B0D">
      <w:r w:rsidRPr="003F5B1F">
        <w:t xml:space="preserve">No que tange </w:t>
      </w:r>
      <w:r w:rsidR="002869D2" w:rsidRPr="003F5B1F">
        <w:t>à metod</w:t>
      </w:r>
      <w:r w:rsidR="000C1A9E" w:rsidRPr="003F5B1F">
        <w:t xml:space="preserve">ologia de apuração de estatística fiscal, </w:t>
      </w:r>
      <w:r w:rsidR="00BA2CE6" w:rsidRPr="003F5B1F">
        <w:t>a designação</w:t>
      </w:r>
      <w:r w:rsidR="00E26F01" w:rsidRPr="003F5B1F">
        <w:t xml:space="preserve"> “acima da linha” significa que o resultado fiscal é calculado pela diferença entre receitas e despesas do </w:t>
      </w:r>
      <w:r w:rsidR="00E26F01" w:rsidRPr="003F5B1F">
        <w:lastRenderedPageBreak/>
        <w:t>setor público</w:t>
      </w:r>
      <w:r w:rsidR="00781804" w:rsidRPr="003F5B1F">
        <w:t xml:space="preserve">, de outro modo, </w:t>
      </w:r>
      <w:r w:rsidR="00FD69C8" w:rsidRPr="003F5B1F">
        <w:t>pelos fluxos de ingresso e saída de recurso</w:t>
      </w:r>
      <w:r w:rsidR="00164D0B">
        <w:t>s</w:t>
      </w:r>
      <w:r w:rsidR="00FD69C8" w:rsidRPr="003F5B1F">
        <w:t>.</w:t>
      </w:r>
      <w:r w:rsidR="00E26F01" w:rsidRPr="003F5B1F">
        <w:t xml:space="preserve"> A</w:t>
      </w:r>
      <w:r w:rsidR="002B41A1" w:rsidRPr="003F5B1F">
        <w:t>lternativamente, tem-se</w:t>
      </w:r>
      <w:r w:rsidR="00E26F01" w:rsidRPr="003F5B1F">
        <w:t xml:space="preserve"> a apuração “abaixo da linha”, </w:t>
      </w:r>
      <w:r w:rsidR="00F5506E" w:rsidRPr="003F5B1F">
        <w:t>operacionalizada</w:t>
      </w:r>
      <w:r w:rsidR="00E26F01" w:rsidRPr="003F5B1F">
        <w:t xml:space="preserve"> no Brasil pelo Banco Central</w:t>
      </w:r>
      <w:r w:rsidR="00F5506E" w:rsidRPr="003F5B1F">
        <w:t>,</w:t>
      </w:r>
      <w:r w:rsidR="00E26F01" w:rsidRPr="003F5B1F">
        <w:t xml:space="preserve"> que leva em consideração </w:t>
      </w:r>
      <w:r w:rsidR="00AE01BB" w:rsidRPr="003F5B1F">
        <w:t>a variação</w:t>
      </w:r>
      <w:r w:rsidR="00E26F01" w:rsidRPr="003F5B1F">
        <w:t xml:space="preserve"> </w:t>
      </w:r>
      <w:r w:rsidR="00C5181A" w:rsidRPr="003F5B1F">
        <w:t>d</w:t>
      </w:r>
      <w:r w:rsidR="00E26F01" w:rsidRPr="003F5B1F">
        <w:t>o estoque da dívida líquida</w:t>
      </w:r>
      <w:r w:rsidR="00AE01BB" w:rsidRPr="003F5B1F">
        <w:t xml:space="preserve"> total</w:t>
      </w:r>
      <w:r w:rsidR="00E26F01" w:rsidRPr="003F5B1F">
        <w:t xml:space="preserve">, incluindo </w:t>
      </w:r>
      <w:r w:rsidR="00F20DDF">
        <w:t xml:space="preserve">dívidas </w:t>
      </w:r>
      <w:r w:rsidR="00E26F01" w:rsidRPr="003F5B1F">
        <w:t>domésticas e externas,</w:t>
      </w:r>
      <w:r w:rsidR="00EE6C4D" w:rsidRPr="003F5B1F">
        <w:t xml:space="preserve"> e </w:t>
      </w:r>
      <w:r w:rsidR="00E26F01" w:rsidRPr="003F5B1F">
        <w:t>permit</w:t>
      </w:r>
      <w:r w:rsidR="00EE6C4D" w:rsidRPr="003F5B1F">
        <w:t>e ao governo</w:t>
      </w:r>
      <w:r w:rsidR="00E26F01" w:rsidRPr="003F5B1F">
        <w:t xml:space="preserve"> </w:t>
      </w:r>
      <w:r w:rsidR="00600C0B" w:rsidRPr="003F5B1F">
        <w:t>avaliar</w:t>
      </w:r>
      <w:r w:rsidR="00E26F01" w:rsidRPr="003F5B1F">
        <w:t xml:space="preserve"> </w:t>
      </w:r>
      <w:r w:rsidR="000A7781" w:rsidRPr="003F5B1F">
        <w:t>a necessidade</w:t>
      </w:r>
      <w:r w:rsidR="003E7700" w:rsidRPr="003F5B1F">
        <w:t xml:space="preserve"> </w:t>
      </w:r>
      <w:r w:rsidR="00811A7E" w:rsidRPr="003F5B1F">
        <w:t xml:space="preserve">e as fontes </w:t>
      </w:r>
      <w:r w:rsidR="003E7700" w:rsidRPr="003F5B1F">
        <w:t xml:space="preserve">de financiamento </w:t>
      </w:r>
      <w:r w:rsidR="00B95842" w:rsidRPr="003F5B1F">
        <w:t>do resultado fiscal apurado</w:t>
      </w:r>
      <w:r w:rsidR="00E26F01" w:rsidRPr="003F5B1F">
        <w:t xml:space="preserve">. </w:t>
      </w:r>
    </w:p>
    <w:p w14:paraId="7A66B079" w14:textId="5BCA7145" w:rsidR="00E26F01" w:rsidRPr="003F5B1F" w:rsidRDefault="009458D8" w:rsidP="000B7B0D">
      <w:r w:rsidRPr="003F5B1F">
        <w:t>Em se tratando d</w:t>
      </w:r>
      <w:r w:rsidR="007236CA" w:rsidRPr="003F5B1F">
        <w:t>a execução do</w:t>
      </w:r>
      <w:r w:rsidRPr="003F5B1F">
        <w:t xml:space="preserve"> orçamento público</w:t>
      </w:r>
      <w:r w:rsidR="007236CA" w:rsidRPr="003F5B1F">
        <w:t>,</w:t>
      </w:r>
      <w:r w:rsidRPr="003F5B1F">
        <w:t xml:space="preserve"> </w:t>
      </w:r>
      <w:r w:rsidR="007236CA" w:rsidRPr="003F5B1F">
        <w:t>a</w:t>
      </w:r>
      <w:r w:rsidR="004B7ABF" w:rsidRPr="003F5B1F">
        <w:t xml:space="preserve">s duas estatísticas </w:t>
      </w:r>
      <w:r w:rsidR="003C5B83" w:rsidRPr="003F5B1F">
        <w:t xml:space="preserve">amparam </w:t>
      </w:r>
      <w:r w:rsidR="00F85516" w:rsidRPr="003F5B1F">
        <w:t>as análises relativas às metas fiscais. Mesmo</w:t>
      </w:r>
      <w:r w:rsidR="00E26F01" w:rsidRPr="003F5B1F">
        <w:t xml:space="preserve"> que a meta de resultado primário estabelecida na </w:t>
      </w:r>
      <w:r w:rsidR="0091352A" w:rsidRPr="003F5B1F">
        <w:t>Lei de Diretrizes Orçamentárias (</w:t>
      </w:r>
      <w:r w:rsidR="00E26F01" w:rsidRPr="003F5B1F">
        <w:t>LDO</w:t>
      </w:r>
      <w:r w:rsidR="0091352A" w:rsidRPr="003F5B1F">
        <w:t>)</w:t>
      </w:r>
      <w:r w:rsidR="00E26F01" w:rsidRPr="003F5B1F">
        <w:t xml:space="preserve"> </w:t>
      </w:r>
      <w:r w:rsidR="0091352A" w:rsidRPr="003F5B1F">
        <w:t>seja</w:t>
      </w:r>
      <w:r w:rsidR="00E26F01" w:rsidRPr="003F5B1F">
        <w:t xml:space="preserve"> apurada oficialmente</w:t>
      </w:r>
      <w:r w:rsidR="003B03C1" w:rsidRPr="003F5B1F">
        <w:t xml:space="preserve"> </w:t>
      </w:r>
      <w:r w:rsidR="00E26F01" w:rsidRPr="003F5B1F">
        <w:t xml:space="preserve">pelo método “abaixo </w:t>
      </w:r>
      <w:r w:rsidR="008729B7" w:rsidRPr="003F5B1F">
        <w:t>d</w:t>
      </w:r>
      <w:r w:rsidR="00E26F01" w:rsidRPr="003F5B1F">
        <w:t>a linha”</w:t>
      </w:r>
      <w:r w:rsidR="006E1464" w:rsidRPr="003F5B1F">
        <w:t xml:space="preserve"> do BCB,</w:t>
      </w:r>
      <w:r w:rsidR="00E26F01" w:rsidRPr="003F5B1F">
        <w:t xml:space="preserve"> </w:t>
      </w:r>
      <w:r w:rsidR="00827271" w:rsidRPr="003F5B1F">
        <w:t>os fatores geradores</w:t>
      </w:r>
      <w:r w:rsidR="00DF4A9B" w:rsidRPr="003F5B1F">
        <w:t xml:space="preserve"> do resultado</w:t>
      </w:r>
      <w:r w:rsidR="00E26F01" w:rsidRPr="003F5B1F">
        <w:t>, assim como outros aspectos qualitativos</w:t>
      </w:r>
      <w:r w:rsidR="00654DFF" w:rsidRPr="003F5B1F">
        <w:t xml:space="preserve"> da política fiscal</w:t>
      </w:r>
      <w:r w:rsidR="00E26F01" w:rsidRPr="003F5B1F">
        <w:t>, são identificadas pela apuração do RTN.</w:t>
      </w:r>
    </w:p>
    <w:p w14:paraId="508D12E8" w14:textId="7337F80B" w:rsidR="00E26F01" w:rsidRPr="003F5B1F" w:rsidRDefault="008E371F" w:rsidP="000B7B0D">
      <w:r w:rsidRPr="003F5B1F">
        <w:t>Relativamente</w:t>
      </w:r>
      <w:r w:rsidR="00603B40" w:rsidRPr="003F5B1F">
        <w:t xml:space="preserve"> </w:t>
      </w:r>
      <w:r w:rsidRPr="003F5B1F">
        <w:t>a</w:t>
      </w:r>
      <w:r w:rsidR="00CA2537" w:rsidRPr="003F5B1F">
        <w:t xml:space="preserve">o momento de contabilização das receitas e despesas </w:t>
      </w:r>
      <w:r w:rsidR="00471481" w:rsidRPr="003F5B1F">
        <w:t>do RTN</w:t>
      </w:r>
      <w:r w:rsidR="00E26F01" w:rsidRPr="003F5B1F">
        <w:t>, o regime de caixa</w:t>
      </w:r>
      <w:r w:rsidR="006A474D" w:rsidRPr="003F5B1F">
        <w:t xml:space="preserve"> mensura</w:t>
      </w:r>
      <w:r w:rsidR="00E26F01" w:rsidRPr="003F5B1F">
        <w:t xml:space="preserve"> com base no efetiv</w:t>
      </w:r>
      <w:r w:rsidR="003275A1" w:rsidRPr="003F5B1F">
        <w:t>o</w:t>
      </w:r>
      <w:r w:rsidR="00E26F01" w:rsidRPr="003F5B1F">
        <w:t xml:space="preserve"> recebi</w:t>
      </w:r>
      <w:r w:rsidR="003275A1" w:rsidRPr="003F5B1F">
        <w:t>mento e/ou desembolso</w:t>
      </w:r>
      <w:r w:rsidR="00E26F01" w:rsidRPr="003F5B1F">
        <w:t xml:space="preserve">. Ou seja, a apropriação ocorre </w:t>
      </w:r>
      <w:r w:rsidR="00B31BB2" w:rsidRPr="003F5B1F">
        <w:t xml:space="preserve">concomitantemente </w:t>
      </w:r>
      <w:r w:rsidR="005675D1" w:rsidRPr="003F5B1F">
        <w:t>com a entrada e/ou saída de recursos da conta da administração pública</w:t>
      </w:r>
      <w:r w:rsidR="00E26F01" w:rsidRPr="003F5B1F">
        <w:t xml:space="preserve">. </w:t>
      </w:r>
      <w:r w:rsidR="0063530A" w:rsidRPr="003F5B1F">
        <w:t xml:space="preserve">Essa opção </w:t>
      </w:r>
      <w:r w:rsidR="00616FD8" w:rsidRPr="003F5B1F">
        <w:t>do MEFP 1986 foi</w:t>
      </w:r>
      <w:r w:rsidR="0063530A" w:rsidRPr="003F5B1F">
        <w:t xml:space="preserve"> </w:t>
      </w:r>
      <w:r w:rsidR="00C51A01" w:rsidRPr="003F5B1F">
        <w:t>bastante motivada</w:t>
      </w:r>
      <w:r w:rsidR="0063530A" w:rsidRPr="003F5B1F">
        <w:t xml:space="preserve"> </w:t>
      </w:r>
      <w:r w:rsidR="00D92A35" w:rsidRPr="003F5B1F">
        <w:t>pelas crises de financiamento externo</w:t>
      </w:r>
      <w:r w:rsidR="00DE70E8" w:rsidRPr="003F5B1F">
        <w:t>, na década de 1980</w:t>
      </w:r>
      <w:r w:rsidR="00C51A01" w:rsidRPr="003F5B1F">
        <w:t>,</w:t>
      </w:r>
      <w:r w:rsidR="00D92A35" w:rsidRPr="003F5B1F">
        <w:t xml:space="preserve"> </w:t>
      </w:r>
      <w:r w:rsidR="00DE70E8" w:rsidRPr="003F5B1F">
        <w:t>d</w:t>
      </w:r>
      <w:r w:rsidR="00EB6B24" w:rsidRPr="003F5B1F">
        <w:t>e países com economia menos robust</w:t>
      </w:r>
      <w:r w:rsidR="00294C6F" w:rsidRPr="003F5B1F">
        <w:t xml:space="preserve">a, </w:t>
      </w:r>
      <w:r w:rsidR="00FB0310" w:rsidRPr="003F5B1F">
        <w:t xml:space="preserve">cujo socorro do FMI condicionava-se a </w:t>
      </w:r>
      <w:r w:rsidR="0066129D" w:rsidRPr="003F5B1F">
        <w:t>ajustes e reformas fiscais</w:t>
      </w:r>
      <w:r w:rsidR="00E84CDD" w:rsidRPr="003F5B1F">
        <w:t xml:space="preserve">. A lupa do </w:t>
      </w:r>
      <w:r w:rsidR="006B5A85" w:rsidRPr="003F5B1F">
        <w:t xml:space="preserve">organismo internacional estava sobre </w:t>
      </w:r>
      <w:r w:rsidR="0013226C" w:rsidRPr="003F5B1F">
        <w:t>a g</w:t>
      </w:r>
      <w:r w:rsidR="008C596A" w:rsidRPr="003F5B1F">
        <w:t>estão de</w:t>
      </w:r>
      <w:r w:rsidR="006B5A85" w:rsidRPr="003F5B1F">
        <w:t xml:space="preserve"> curto prazo dos recursos da conta do governo.</w:t>
      </w:r>
    </w:p>
    <w:p w14:paraId="4533BF19" w14:textId="636F26D6" w:rsidR="003374BE" w:rsidRDefault="0034706F" w:rsidP="000B7B0D">
      <w:r w:rsidRPr="003F5B1F">
        <w:t xml:space="preserve">No </w:t>
      </w:r>
      <w:r w:rsidR="00C65A23" w:rsidRPr="003F5B1F">
        <w:t xml:space="preserve">Brasil, entretanto, </w:t>
      </w:r>
      <w:r w:rsidR="000D7753" w:rsidRPr="003F5B1F">
        <w:t>o contínuo</w:t>
      </w:r>
      <w:r w:rsidR="001419A6" w:rsidRPr="003F5B1F">
        <w:t xml:space="preserve"> uso do</w:t>
      </w:r>
      <w:r w:rsidR="00214BC3" w:rsidRPr="003F5B1F">
        <w:t xml:space="preserve"> RTN </w:t>
      </w:r>
      <w:r w:rsidR="003941AE" w:rsidRPr="003F5B1F">
        <w:t xml:space="preserve">precisou se adaptar à </w:t>
      </w:r>
      <w:r w:rsidR="005361BC" w:rsidRPr="003F5B1F">
        <w:t>realidade</w:t>
      </w:r>
      <w:r w:rsidR="00941C64" w:rsidRPr="003F5B1F">
        <w:t xml:space="preserve"> </w:t>
      </w:r>
      <w:r w:rsidR="00A0446F" w:rsidRPr="003F5B1F">
        <w:t xml:space="preserve">de um </w:t>
      </w:r>
      <w:r w:rsidR="00BB1C1A" w:rsidRPr="003F5B1F">
        <w:t>panorama</w:t>
      </w:r>
      <w:r w:rsidR="00A0446F" w:rsidRPr="003F5B1F">
        <w:t xml:space="preserve"> </w:t>
      </w:r>
      <w:r w:rsidR="00837B40" w:rsidRPr="003F5B1F">
        <w:t xml:space="preserve">fiscal mais </w:t>
      </w:r>
      <w:r w:rsidR="00941C64" w:rsidRPr="003F5B1F">
        <w:t>alinhado</w:t>
      </w:r>
      <w:r w:rsidR="00837B40" w:rsidRPr="003F5B1F">
        <w:t xml:space="preserve"> </w:t>
      </w:r>
      <w:r w:rsidR="009A2072" w:rsidRPr="003F5B1F">
        <w:t>a</w:t>
      </w:r>
      <w:r w:rsidR="00BB1C1A" w:rsidRPr="003F5B1F">
        <w:t>o</w:t>
      </w:r>
      <w:r w:rsidR="00BF7C43" w:rsidRPr="003F5B1F">
        <w:t xml:space="preserve"> </w:t>
      </w:r>
      <w:r w:rsidR="004B7848" w:rsidRPr="003F5B1F">
        <w:t>orçament</w:t>
      </w:r>
      <w:r w:rsidR="009A2072" w:rsidRPr="003F5B1F">
        <w:t>o legalmente aprovado pelo Congresso Nacional</w:t>
      </w:r>
      <w:r w:rsidR="004B7848" w:rsidRPr="003F5B1F">
        <w:t xml:space="preserve">. Dessa forma, </w:t>
      </w:r>
      <w:r w:rsidR="00BC24E0" w:rsidRPr="003F5B1F">
        <w:t xml:space="preserve">em janeiro de 2016, </w:t>
      </w:r>
      <w:r w:rsidR="00A32073" w:rsidRPr="003F5B1F">
        <w:t>afastando-se d</w:t>
      </w:r>
      <w:r w:rsidR="006F58E9" w:rsidRPr="003F5B1F">
        <w:t>a visão essencialmente econômica do</w:t>
      </w:r>
      <w:r w:rsidR="00A32073" w:rsidRPr="003F5B1F">
        <w:t xml:space="preserve"> MEFP 1986</w:t>
      </w:r>
      <w:r w:rsidR="006F58E9" w:rsidRPr="003F5B1F">
        <w:t>,</w:t>
      </w:r>
      <w:r w:rsidR="00A975C8" w:rsidRPr="003F5B1F">
        <w:t xml:space="preserve"> </w:t>
      </w:r>
      <w:r w:rsidR="002F2B1C" w:rsidRPr="003F5B1F">
        <w:t xml:space="preserve">o RTN </w:t>
      </w:r>
      <w:r w:rsidR="00BC59F5" w:rsidRPr="003F5B1F">
        <w:t xml:space="preserve">incorporou mudanças em seu formato a fim de </w:t>
      </w:r>
      <w:r w:rsidR="003777D3" w:rsidRPr="003F5B1F">
        <w:t>se harmonizar</w:t>
      </w:r>
      <w:r w:rsidR="00A6215D" w:rsidRPr="003F5B1F">
        <w:t xml:space="preserve"> com a estrutura utilizada pela Secretaria de Orçamento Federal (SOF)</w:t>
      </w:r>
      <w:r w:rsidR="00BB1C1A" w:rsidRPr="003F5B1F">
        <w:t xml:space="preserve"> </w:t>
      </w:r>
      <w:r w:rsidR="00F46498" w:rsidRPr="003F5B1F">
        <w:t>no</w:t>
      </w:r>
      <w:r w:rsidR="00FC4B84" w:rsidRPr="003F5B1F">
        <w:t xml:space="preserve"> acompanha</w:t>
      </w:r>
      <w:r w:rsidR="00D80210" w:rsidRPr="003F5B1F">
        <w:t>mento</w:t>
      </w:r>
      <w:r w:rsidR="00FC4B84" w:rsidRPr="003F5B1F">
        <w:t xml:space="preserve"> </w:t>
      </w:r>
      <w:r w:rsidR="00D80210" w:rsidRPr="003F5B1F">
        <w:t>d</w:t>
      </w:r>
      <w:r w:rsidR="00FC4B84" w:rsidRPr="003F5B1F">
        <w:t xml:space="preserve">a execução </w:t>
      </w:r>
      <w:r w:rsidR="00B04643" w:rsidRPr="003F5B1F">
        <w:t>orçamentária.</w:t>
      </w:r>
      <w:r w:rsidR="00BC24E0" w:rsidRPr="003F5B1F">
        <w:t xml:space="preserve"> </w:t>
      </w:r>
      <w:r w:rsidR="00B04643" w:rsidRPr="003F5B1F">
        <w:t xml:space="preserve"> </w:t>
      </w:r>
      <w:r w:rsidR="003777D3" w:rsidRPr="003F5B1F">
        <w:t xml:space="preserve"> </w:t>
      </w:r>
      <w:r w:rsidR="006F58E9" w:rsidRPr="003F5B1F">
        <w:t xml:space="preserve"> </w:t>
      </w:r>
    </w:p>
    <w:p w14:paraId="6A279C85" w14:textId="77777777" w:rsidR="003C15E1" w:rsidRPr="003F5B1F" w:rsidRDefault="003C15E1" w:rsidP="000B7B0D"/>
    <w:p w14:paraId="07CD95F8" w14:textId="1E50A42E" w:rsidR="00F14408" w:rsidRDefault="00C50B85" w:rsidP="007F0C67">
      <w:pPr>
        <w:pStyle w:val="Ttulo3"/>
      </w:pPr>
      <w:bookmarkStart w:id="55" w:name="_Toc16087699"/>
      <w:r>
        <w:t>3</w:t>
      </w:r>
      <w:r w:rsidR="00F14408" w:rsidRPr="000D4955">
        <w:t>.1.3</w:t>
      </w:r>
      <w:r w:rsidR="003C15E1">
        <w:t>.</w:t>
      </w:r>
      <w:r w:rsidR="00F14408" w:rsidRPr="000D4955">
        <w:t xml:space="preserve"> </w:t>
      </w:r>
      <w:r w:rsidR="00BB5635" w:rsidRPr="000D4955">
        <w:t>Operacionalização</w:t>
      </w:r>
      <w:r w:rsidR="00882544" w:rsidRPr="000D4955">
        <w:t xml:space="preserve"> e estrutura</w:t>
      </w:r>
      <w:bookmarkEnd w:id="55"/>
    </w:p>
    <w:p w14:paraId="16B72A8B" w14:textId="77777777" w:rsidR="003C15E1" w:rsidRPr="003C15E1" w:rsidRDefault="003C15E1" w:rsidP="003C15E1"/>
    <w:p w14:paraId="4F1B3F59" w14:textId="71DEA52F" w:rsidR="00E26F01" w:rsidRPr="003F5B1F" w:rsidRDefault="00E26F01" w:rsidP="000B7B0D">
      <w:r w:rsidRPr="003F5B1F">
        <w:t xml:space="preserve">O RTN </w:t>
      </w:r>
      <w:r w:rsidR="000253B5" w:rsidRPr="003F5B1F">
        <w:t>usa</w:t>
      </w:r>
      <w:r w:rsidRPr="003F5B1F">
        <w:t xml:space="preserve"> como fonte de dados </w:t>
      </w:r>
      <w:r w:rsidR="002C4107" w:rsidRPr="003F5B1F">
        <w:t>primários</w:t>
      </w:r>
      <w:r w:rsidR="00821AD3" w:rsidRPr="003F5B1F">
        <w:t xml:space="preserve">, em sua maior parte, </w:t>
      </w:r>
      <w:r w:rsidRPr="003F5B1F">
        <w:t>o</w:t>
      </w:r>
      <w:r w:rsidR="000253B5" w:rsidRPr="003F5B1F">
        <w:t>s registros do</w:t>
      </w:r>
      <w:r w:rsidRPr="003F5B1F">
        <w:t xml:space="preserve"> Sistema de Administração Financeira do Governo Federal (SIAFI), mantido pela própria STN</w:t>
      </w:r>
      <w:r w:rsidR="00344AE4" w:rsidRPr="003F5B1F">
        <w:t>.</w:t>
      </w:r>
      <w:r w:rsidR="00F37324" w:rsidRPr="003F5B1F">
        <w:t xml:space="preserve"> </w:t>
      </w:r>
      <w:r w:rsidR="00621143" w:rsidRPr="003F5B1F">
        <w:t>Além disso</w:t>
      </w:r>
      <w:r w:rsidR="00F37324" w:rsidRPr="003F5B1F">
        <w:t>,</w:t>
      </w:r>
      <w:r w:rsidR="00621143" w:rsidRPr="003F5B1F">
        <w:t xml:space="preserve"> a STN </w:t>
      </w:r>
      <w:r w:rsidR="001250D8" w:rsidRPr="003F5B1F">
        <w:t>requisita</w:t>
      </w:r>
      <w:r w:rsidR="00F37324" w:rsidRPr="003F5B1F">
        <w:t xml:space="preserve"> </w:t>
      </w:r>
      <w:r w:rsidRPr="003F5B1F">
        <w:t xml:space="preserve">dados de fontes externas, </w:t>
      </w:r>
      <w:r w:rsidR="001250D8" w:rsidRPr="003F5B1F">
        <w:t>à</w:t>
      </w:r>
      <w:r w:rsidRPr="003F5B1F">
        <w:t xml:space="preserve"> exemplo d</w:t>
      </w:r>
      <w:r w:rsidR="00EC6258" w:rsidRPr="003F5B1F">
        <w:t>e bases mantidas pelo</w:t>
      </w:r>
      <w:r w:rsidRPr="003F5B1F">
        <w:t xml:space="preserve"> INSS</w:t>
      </w:r>
      <w:r w:rsidR="00EC6258" w:rsidRPr="003F5B1F">
        <w:t>,</w:t>
      </w:r>
      <w:r w:rsidRPr="003F5B1F">
        <w:t xml:space="preserve"> </w:t>
      </w:r>
      <w:r w:rsidR="00EC6258" w:rsidRPr="003F5B1F">
        <w:t>pela</w:t>
      </w:r>
      <w:r w:rsidRPr="003F5B1F">
        <w:t xml:space="preserve"> Receita Federal</w:t>
      </w:r>
      <w:r w:rsidR="00EC6258" w:rsidRPr="003F5B1F">
        <w:t xml:space="preserve"> e pelo Banco Central do Brasil</w:t>
      </w:r>
      <w:r w:rsidR="00437E68" w:rsidRPr="003F5B1F">
        <w:t xml:space="preserve">, para realizar a consolidação </w:t>
      </w:r>
      <w:r w:rsidR="002B2231" w:rsidRPr="003F5B1F">
        <w:t xml:space="preserve">que </w:t>
      </w:r>
      <w:r w:rsidR="00CF37B0" w:rsidRPr="003F5B1F">
        <w:t>gera</w:t>
      </w:r>
      <w:r w:rsidR="002B2231" w:rsidRPr="003F5B1F">
        <w:t xml:space="preserve"> </w:t>
      </w:r>
      <w:r w:rsidR="00CF37B0" w:rsidRPr="003F5B1F">
        <w:t>o</w:t>
      </w:r>
      <w:r w:rsidR="002B2231" w:rsidRPr="003F5B1F">
        <w:t>s</w:t>
      </w:r>
      <w:r w:rsidR="00051195" w:rsidRPr="003F5B1F">
        <w:t xml:space="preserve"> demonstrativos do RTN.</w:t>
      </w:r>
    </w:p>
    <w:p w14:paraId="0A8B4033" w14:textId="17139052" w:rsidR="00FF2497" w:rsidRDefault="00E26F01" w:rsidP="000B7B0D">
      <w:r w:rsidRPr="003F5B1F">
        <w:t xml:space="preserve">O resultado primário no RTN é calculado pela diferença entre a receita primária líquida e a despesa primária total, somado ao valor líquido do fluxo sobre o Fundo Soberano do Brasil. </w:t>
      </w:r>
      <w:r w:rsidRPr="003F5B1F">
        <w:lastRenderedPageBreak/>
        <w:t xml:space="preserve">A receita primária líquida </w:t>
      </w:r>
      <w:r w:rsidR="007674CF" w:rsidRPr="003F5B1F">
        <w:t xml:space="preserve">se justifica </w:t>
      </w:r>
      <w:r w:rsidR="00310E8A" w:rsidRPr="003F5B1F">
        <w:t>pela dedução de restituições, incentivos fiscais e transferências constitucionais aos entes subnacionais</w:t>
      </w:r>
      <w:r w:rsidR="001B7508" w:rsidRPr="003F5B1F">
        <w:t xml:space="preserve"> – </w:t>
      </w:r>
      <w:r w:rsidR="005744E6" w:rsidRPr="003F5B1F">
        <w:t xml:space="preserve">as denominadas transferências por repartição </w:t>
      </w:r>
      <w:r w:rsidR="00937FD9" w:rsidRPr="003F5B1F">
        <w:t>de receita</w:t>
      </w:r>
      <w:r w:rsidR="001B7508" w:rsidRPr="003F5B1F">
        <w:t xml:space="preserve"> –</w:t>
      </w:r>
      <w:r w:rsidR="00937FD9" w:rsidRPr="003F5B1F">
        <w:t>,</w:t>
      </w:r>
      <w:r w:rsidR="00310E8A" w:rsidRPr="003F5B1F">
        <w:t xml:space="preserve"> da</w:t>
      </w:r>
      <w:r w:rsidRPr="003F5B1F">
        <w:t xml:space="preserve"> receita bruta do Governo Central</w:t>
      </w:r>
      <w:r w:rsidR="00FF2497" w:rsidRPr="003F5B1F">
        <w:t xml:space="preserve">, conforme </w:t>
      </w:r>
      <w:r w:rsidR="00291D02" w:rsidRPr="003F5B1F">
        <w:t>f</w:t>
      </w:r>
      <w:r w:rsidR="00FF2497" w:rsidRPr="003F5B1F">
        <w:t>igura 1 abaixo:</w:t>
      </w:r>
    </w:p>
    <w:p w14:paraId="3C19A3B2" w14:textId="77777777" w:rsidR="00E409E9" w:rsidRDefault="00E409E9" w:rsidP="000B7B0D"/>
    <w:p w14:paraId="0DCCD296" w14:textId="77777777" w:rsidR="00E409E9" w:rsidRDefault="00E409E9" w:rsidP="000B7B0D"/>
    <w:p w14:paraId="64946265" w14:textId="296CEFFD" w:rsidR="004B60E9" w:rsidRPr="005B0A2E" w:rsidRDefault="004B60E9" w:rsidP="002C51FD">
      <w:pPr>
        <w:jc w:val="center"/>
        <w:rPr>
          <w:b/>
        </w:rPr>
      </w:pPr>
      <w:r w:rsidRPr="005B0A2E">
        <w:rPr>
          <w:b/>
        </w:rPr>
        <w:t>Figura 1 – Discriminação dos componentes principais da apuração do resultado primário</w:t>
      </w:r>
    </w:p>
    <w:p w14:paraId="6EEE50AC" w14:textId="265699DF" w:rsidR="00F8421C" w:rsidRPr="003F5B1F" w:rsidRDefault="00693312" w:rsidP="0095370F">
      <w:pPr>
        <w:jc w:val="center"/>
      </w:pPr>
      <w:r w:rsidRPr="003F5B1F">
        <w:rPr>
          <w:noProof/>
        </w:rPr>
        <w:drawing>
          <wp:inline distT="0" distB="0" distL="0" distR="0" wp14:anchorId="615E5CEF" wp14:editId="5FF37661">
            <wp:extent cx="1790700" cy="2143125"/>
            <wp:effectExtent l="19050" t="19050" r="1905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0700" cy="2143125"/>
                    </a:xfrm>
                    <a:prstGeom prst="rect">
                      <a:avLst/>
                    </a:prstGeom>
                    <a:ln w="12700">
                      <a:solidFill>
                        <a:schemeClr val="bg2">
                          <a:lumMod val="90000"/>
                        </a:schemeClr>
                      </a:solidFill>
                    </a:ln>
                  </pic:spPr>
                </pic:pic>
              </a:graphicData>
            </a:graphic>
          </wp:inline>
        </w:drawing>
      </w:r>
    </w:p>
    <w:p w14:paraId="6A523FDB" w14:textId="340B13FD" w:rsidR="00FF2497" w:rsidRPr="002C51FD" w:rsidRDefault="00C92FD6" w:rsidP="002C51FD">
      <w:pPr>
        <w:pStyle w:val="Subttulo"/>
      </w:pPr>
      <w:r>
        <w:tab/>
      </w:r>
      <w:r>
        <w:tab/>
      </w:r>
      <w:r>
        <w:tab/>
      </w:r>
      <w:r>
        <w:tab/>
        <w:t xml:space="preserve">             </w:t>
      </w:r>
      <w:r w:rsidR="002C51FD">
        <w:t xml:space="preserve"> </w:t>
      </w:r>
      <w:r w:rsidR="00C97BF4" w:rsidRPr="002C51FD">
        <w:t>F</w:t>
      </w:r>
      <w:r w:rsidR="00E409E9" w:rsidRPr="002C51FD">
        <w:t>onte</w:t>
      </w:r>
      <w:r w:rsidR="00C97BF4" w:rsidRPr="002C51FD">
        <w:t xml:space="preserve">: </w:t>
      </w:r>
      <w:r w:rsidR="00E409E9" w:rsidRPr="002C51FD">
        <w:t>Secretaria do Tesouro Nacional</w:t>
      </w:r>
    </w:p>
    <w:p w14:paraId="7D513A65" w14:textId="77777777" w:rsidR="00C92FD6" w:rsidRPr="00C92FD6" w:rsidRDefault="00C92FD6" w:rsidP="00C92FD6"/>
    <w:p w14:paraId="3446EF95" w14:textId="1A3BCF5D" w:rsidR="00877921" w:rsidRPr="003F5B1F" w:rsidRDefault="00F65C18" w:rsidP="000B7B0D">
      <w:r w:rsidRPr="003F5B1F">
        <w:t>Ademais,</w:t>
      </w:r>
      <w:r w:rsidR="00412886" w:rsidRPr="003F5B1F">
        <w:t xml:space="preserve"> </w:t>
      </w:r>
      <w:r w:rsidR="00200065" w:rsidRPr="003F5B1F">
        <w:t>para</w:t>
      </w:r>
      <w:r w:rsidR="008F087C" w:rsidRPr="003F5B1F">
        <w:t xml:space="preserve"> fortalecer a transparência </w:t>
      </w:r>
      <w:r w:rsidR="00544373" w:rsidRPr="003F5B1F">
        <w:t>do ac</w:t>
      </w:r>
      <w:r w:rsidR="007737BB" w:rsidRPr="003F5B1F">
        <w:t>ompanhamento</w:t>
      </w:r>
      <w:r w:rsidR="00544373" w:rsidRPr="003F5B1F">
        <w:t xml:space="preserve"> </w:t>
      </w:r>
      <w:r w:rsidR="00355629" w:rsidRPr="003F5B1F">
        <w:t xml:space="preserve">da execução </w:t>
      </w:r>
      <w:r w:rsidR="00AA1602" w:rsidRPr="003F5B1F">
        <w:t>orçamentária</w:t>
      </w:r>
      <w:r w:rsidR="007737BB" w:rsidRPr="003F5B1F">
        <w:t xml:space="preserve"> em relação ao que foi previsto </w:t>
      </w:r>
      <w:r w:rsidR="00676FD9" w:rsidRPr="003F5B1F">
        <w:t xml:space="preserve">nos documentos de programação </w:t>
      </w:r>
      <w:r w:rsidR="00F0608A" w:rsidRPr="003F5B1F">
        <w:t xml:space="preserve">orçamentária e </w:t>
      </w:r>
      <w:r w:rsidR="00676FD9" w:rsidRPr="003F5B1F">
        <w:t>financeira</w:t>
      </w:r>
      <w:r w:rsidR="00F0608A" w:rsidRPr="003F5B1F">
        <w:t>,</w:t>
      </w:r>
      <w:r w:rsidR="00475C52" w:rsidRPr="003F5B1F">
        <w:t xml:space="preserve"> </w:t>
      </w:r>
      <w:r w:rsidR="00E26F01" w:rsidRPr="003F5B1F">
        <w:t>a receita</w:t>
      </w:r>
      <w:r w:rsidR="00FB4A14" w:rsidRPr="003F5B1F">
        <w:t xml:space="preserve"> total</w:t>
      </w:r>
      <w:r w:rsidR="00E26F01" w:rsidRPr="003F5B1F">
        <w:t xml:space="preserve"> </w:t>
      </w:r>
      <w:r w:rsidR="00FB4A14" w:rsidRPr="003F5B1F">
        <w:t xml:space="preserve">foi desagregada em </w:t>
      </w:r>
      <w:r w:rsidR="004F47F9" w:rsidRPr="003F5B1F">
        <w:t xml:space="preserve">a) </w:t>
      </w:r>
      <w:r w:rsidR="00736C68" w:rsidRPr="003F5B1F">
        <w:t>receita administrada pela RFB (</w:t>
      </w:r>
      <w:r w:rsidR="004F47F9" w:rsidRPr="003F5B1F">
        <w:t>sigla para Receita Federal do Brasil)</w:t>
      </w:r>
      <w:r w:rsidR="00BE32B6" w:rsidRPr="003F5B1F">
        <w:t xml:space="preserve"> líquida</w:t>
      </w:r>
      <w:r w:rsidR="00DB0D70" w:rsidRPr="003F5B1F">
        <w:t xml:space="preserve"> de</w:t>
      </w:r>
      <w:r w:rsidR="004F47F9" w:rsidRPr="003F5B1F">
        <w:t xml:space="preserve"> b)</w:t>
      </w:r>
      <w:r w:rsidR="00DB0D70" w:rsidRPr="003F5B1F">
        <w:t xml:space="preserve"> incentivos fiscais, c)</w:t>
      </w:r>
      <w:r w:rsidR="00A427A0" w:rsidRPr="003F5B1F">
        <w:t xml:space="preserve"> arrecadação líquida para o RGPS</w:t>
      </w:r>
      <w:r w:rsidR="00B56624" w:rsidRPr="003F5B1F">
        <w:t xml:space="preserve">, que se refere ao regime geral de previdência social, e d) receitas não administradas </w:t>
      </w:r>
      <w:r w:rsidR="00877921" w:rsidRPr="003F5B1F">
        <w:t>pela RFB</w:t>
      </w:r>
      <w:r w:rsidR="000D163D" w:rsidRPr="003F5B1F">
        <w:t xml:space="preserve">, </w:t>
      </w:r>
      <w:r w:rsidR="00C0717E" w:rsidRPr="003F5B1F">
        <w:t>todas informadas por seus valores líquidos, já descontadas as restituições.</w:t>
      </w:r>
    </w:p>
    <w:p w14:paraId="483F3B09" w14:textId="2A03CFE0" w:rsidR="00D43905" w:rsidRDefault="00877921" w:rsidP="000B7B0D">
      <w:r w:rsidRPr="003F5B1F">
        <w:t>Por outro lado,</w:t>
      </w:r>
      <w:r w:rsidR="00FD0D76" w:rsidRPr="003F5B1F">
        <w:t xml:space="preserve"> a despesa total </w:t>
      </w:r>
      <w:r w:rsidR="003D4EFE" w:rsidRPr="003F5B1F">
        <w:t>mostra as despesas obrigatórias</w:t>
      </w:r>
      <w:r w:rsidR="005A3D34" w:rsidRPr="003F5B1F">
        <w:t>, discriminadas em i)</w:t>
      </w:r>
      <w:r w:rsidR="00477631" w:rsidRPr="003F5B1F">
        <w:t xml:space="preserve"> benefícios previdenciários</w:t>
      </w:r>
      <w:r w:rsidR="00A227A9" w:rsidRPr="003F5B1F">
        <w:t xml:space="preserve">, </w:t>
      </w:r>
      <w:proofErr w:type="spellStart"/>
      <w:r w:rsidR="00A227A9" w:rsidRPr="003F5B1F">
        <w:t>ii</w:t>
      </w:r>
      <w:proofErr w:type="spellEnd"/>
      <w:r w:rsidR="00A227A9" w:rsidRPr="003F5B1F">
        <w:t xml:space="preserve">) pessoal e encargos sociais e </w:t>
      </w:r>
      <w:proofErr w:type="spellStart"/>
      <w:r w:rsidR="00A227A9" w:rsidRPr="003F5B1F">
        <w:t>iii</w:t>
      </w:r>
      <w:proofErr w:type="spellEnd"/>
      <w:r w:rsidR="00A227A9" w:rsidRPr="003F5B1F">
        <w:t xml:space="preserve">) outras despesas obrigatórias; </w:t>
      </w:r>
      <w:r w:rsidR="00D56E29" w:rsidRPr="003F5B1F">
        <w:t>e as despesas discricionárias</w:t>
      </w:r>
      <w:r w:rsidR="008D5D1C" w:rsidRPr="003F5B1F">
        <w:t xml:space="preserve">. Na figura 2, </w:t>
      </w:r>
      <w:r w:rsidR="00D43905" w:rsidRPr="003F5B1F">
        <w:t>pode-se ver como fica a estrutura em seu conjunto:</w:t>
      </w:r>
    </w:p>
    <w:p w14:paraId="6F4A95D2" w14:textId="5834F3B4" w:rsidR="000C7DD5" w:rsidRDefault="000C7DD5" w:rsidP="000B7B0D"/>
    <w:p w14:paraId="26531657" w14:textId="77777777" w:rsidR="000C7DD5" w:rsidRDefault="000C7DD5" w:rsidP="000C7DD5"/>
    <w:p w14:paraId="1EB83D61" w14:textId="77777777" w:rsidR="000C7DD5" w:rsidRDefault="000C7DD5" w:rsidP="000C7DD5"/>
    <w:p w14:paraId="28F5E901" w14:textId="77777777" w:rsidR="000C7DD5" w:rsidRDefault="000C7DD5" w:rsidP="000C7DD5"/>
    <w:p w14:paraId="65DE9BFD" w14:textId="77777777" w:rsidR="000C7DD5" w:rsidRDefault="000C7DD5" w:rsidP="000C7DD5"/>
    <w:p w14:paraId="01F37CB3" w14:textId="77777777" w:rsidR="000C7DD5" w:rsidRDefault="000C7DD5" w:rsidP="000C7DD5"/>
    <w:p w14:paraId="221B92F1" w14:textId="77777777" w:rsidR="000C7DD5" w:rsidRDefault="000C7DD5" w:rsidP="000C7DD5"/>
    <w:p w14:paraId="0276350F" w14:textId="7E49184D" w:rsidR="000C7DD5" w:rsidRPr="00D96856" w:rsidRDefault="000C7DD5" w:rsidP="002C51FD">
      <w:pPr>
        <w:jc w:val="center"/>
        <w:rPr>
          <w:b/>
        </w:rPr>
      </w:pPr>
      <w:r w:rsidRPr="00D96856">
        <w:rPr>
          <w:b/>
        </w:rPr>
        <w:lastRenderedPageBreak/>
        <w:t xml:space="preserve">Figura </w:t>
      </w:r>
      <w:r w:rsidR="005B0A2E" w:rsidRPr="00D96856">
        <w:rPr>
          <w:b/>
        </w:rPr>
        <w:t>2</w:t>
      </w:r>
      <w:r w:rsidRPr="00D96856">
        <w:rPr>
          <w:b/>
        </w:rPr>
        <w:t xml:space="preserve"> – Estrutura sintética do RTN</w:t>
      </w:r>
    </w:p>
    <w:p w14:paraId="132AB11B" w14:textId="77777777" w:rsidR="00D43905" w:rsidRPr="003F5B1F" w:rsidRDefault="00D43905" w:rsidP="002C51FD">
      <w:pPr>
        <w:jc w:val="center"/>
      </w:pPr>
      <w:r w:rsidRPr="003F5B1F">
        <w:rPr>
          <w:noProof/>
        </w:rPr>
        <w:drawing>
          <wp:inline distT="0" distB="0" distL="0" distR="0" wp14:anchorId="45F5DECA" wp14:editId="0DB8E594">
            <wp:extent cx="3562350" cy="3409950"/>
            <wp:effectExtent l="19050" t="19050" r="19050" b="285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2350" cy="3409950"/>
                    </a:xfrm>
                    <a:prstGeom prst="rect">
                      <a:avLst/>
                    </a:prstGeom>
                    <a:ln w="12700">
                      <a:solidFill>
                        <a:schemeClr val="bg2">
                          <a:lumMod val="90000"/>
                        </a:schemeClr>
                      </a:solidFill>
                    </a:ln>
                  </pic:spPr>
                </pic:pic>
              </a:graphicData>
            </a:graphic>
          </wp:inline>
        </w:drawing>
      </w:r>
    </w:p>
    <w:p w14:paraId="6ED69AA6" w14:textId="3D5DD162" w:rsidR="000C7DD5" w:rsidRDefault="002C51FD" w:rsidP="002C51FD">
      <w:pPr>
        <w:pStyle w:val="Subttulo"/>
      </w:pPr>
      <w:r>
        <w:tab/>
      </w:r>
      <w:r>
        <w:tab/>
        <w:t xml:space="preserve">               </w:t>
      </w:r>
      <w:r w:rsidR="000C7DD5" w:rsidRPr="00B92692">
        <w:t>F</w:t>
      </w:r>
      <w:r w:rsidR="000C7DD5">
        <w:t>onte</w:t>
      </w:r>
      <w:r w:rsidR="000C7DD5" w:rsidRPr="00B92692">
        <w:t xml:space="preserve">: </w:t>
      </w:r>
      <w:r w:rsidR="000C7DD5">
        <w:t>Secretaria do Tesouro Nacional</w:t>
      </w:r>
      <w:r w:rsidR="000C7DD5" w:rsidRPr="003F5B1F">
        <w:t xml:space="preserve"> </w:t>
      </w:r>
    </w:p>
    <w:p w14:paraId="739893DE" w14:textId="77777777" w:rsidR="000C7DD5" w:rsidRDefault="000C7DD5" w:rsidP="000B7B0D"/>
    <w:p w14:paraId="2561A787" w14:textId="39F7D44E" w:rsidR="00A4402A" w:rsidRPr="003F5B1F" w:rsidRDefault="00E26F01" w:rsidP="000B7B0D">
      <w:r w:rsidRPr="003F5B1F">
        <w:t>O RTN</w:t>
      </w:r>
      <w:r w:rsidR="0074754B" w:rsidRPr="003F5B1F">
        <w:t xml:space="preserve"> mostra essas informações </w:t>
      </w:r>
      <w:r w:rsidR="007B71FC" w:rsidRPr="003F5B1F">
        <w:t xml:space="preserve">em valores </w:t>
      </w:r>
      <w:r w:rsidR="0057036A" w:rsidRPr="003F5B1F">
        <w:t xml:space="preserve">mensal e acumulado no ano, </w:t>
      </w:r>
      <w:r w:rsidR="00D35472" w:rsidRPr="003F5B1F">
        <w:t xml:space="preserve">em relação </w:t>
      </w:r>
      <w:r w:rsidR="00D46DA3" w:rsidRPr="003F5B1F">
        <w:t xml:space="preserve">ao mesmo período do ano anterior </w:t>
      </w:r>
      <w:r w:rsidR="00DD0396" w:rsidRPr="003F5B1F">
        <w:t>e ao mês anterior</w:t>
      </w:r>
      <w:r w:rsidR="00B30B10" w:rsidRPr="003F5B1F">
        <w:t xml:space="preserve">, para </w:t>
      </w:r>
      <w:r w:rsidR="00EE20E6" w:rsidRPr="003F5B1F">
        <w:t>facilitar análises d</w:t>
      </w:r>
      <w:r w:rsidR="00375F98" w:rsidRPr="003F5B1F">
        <w:t xml:space="preserve">a evolução </w:t>
      </w:r>
      <w:r w:rsidR="00742363" w:rsidRPr="003F5B1F">
        <w:t>do resultado primário como um todo e de seus componentes</w:t>
      </w:r>
      <w:r w:rsidR="00375F98" w:rsidRPr="003F5B1F">
        <w:t>.</w:t>
      </w:r>
      <w:r w:rsidRPr="003F5B1F">
        <w:t xml:space="preserve"> Algumas dessas comparações</w:t>
      </w:r>
      <w:r w:rsidR="00311B3F" w:rsidRPr="003F5B1F">
        <w:t>, inclusive,</w:t>
      </w:r>
      <w:r w:rsidRPr="003F5B1F">
        <w:t xml:space="preserve"> lev</w:t>
      </w:r>
      <w:r w:rsidR="00453659" w:rsidRPr="003F5B1F">
        <w:t>am</w:t>
      </w:r>
      <w:r w:rsidRPr="003F5B1F">
        <w:t xml:space="preserve"> em co</w:t>
      </w:r>
      <w:r w:rsidR="00311B3F" w:rsidRPr="003F5B1F">
        <w:t>nsideração os</w:t>
      </w:r>
      <w:r w:rsidRPr="003F5B1F">
        <w:t xml:space="preserve"> efeitos inflacionários, </w:t>
      </w:r>
      <w:r w:rsidR="00311B3F" w:rsidRPr="003F5B1F">
        <w:t>incorporando</w:t>
      </w:r>
      <w:r w:rsidRPr="003F5B1F">
        <w:t xml:space="preserve"> a correção </w:t>
      </w:r>
      <w:r w:rsidR="00455846" w:rsidRPr="003F5B1F">
        <w:t xml:space="preserve">dos valores apurados </w:t>
      </w:r>
      <w:r w:rsidRPr="003F5B1F">
        <w:t xml:space="preserve">pelo </w:t>
      </w:r>
      <w:r w:rsidR="006D67D7" w:rsidRPr="003F5B1F">
        <w:t>Índice Nacional de Preços ao Consumidor Amplo (IPCA)</w:t>
      </w:r>
      <w:r w:rsidR="006B447E" w:rsidRPr="003F5B1F">
        <w:t xml:space="preserve">, o índice oficial do Governo Federal </w:t>
      </w:r>
      <w:r w:rsidR="00156D8F" w:rsidRPr="003F5B1F">
        <w:t>para medir as metas inflacionárias.</w:t>
      </w:r>
    </w:p>
    <w:p w14:paraId="18AB3917" w14:textId="5336808E" w:rsidR="001E1473" w:rsidRDefault="001B0AFC" w:rsidP="000B7B0D">
      <w:r w:rsidRPr="003F5B1F">
        <w:t>Por fim, j</w:t>
      </w:r>
      <w:r w:rsidR="00071A85" w:rsidRPr="003F5B1F">
        <w:t xml:space="preserve">unto com o documento principal, a STN </w:t>
      </w:r>
      <w:r w:rsidR="00C53A41" w:rsidRPr="003F5B1F">
        <w:t>disponibiliza</w:t>
      </w:r>
      <w:r w:rsidR="00071A85" w:rsidRPr="003F5B1F">
        <w:t xml:space="preserve"> </w:t>
      </w:r>
      <w:r w:rsidR="00F701FB" w:rsidRPr="003F5B1F">
        <w:t xml:space="preserve">alguns </w:t>
      </w:r>
      <w:r w:rsidR="00071A85" w:rsidRPr="003F5B1F">
        <w:t>anexos do RTN</w:t>
      </w:r>
      <w:r w:rsidR="00170DF0" w:rsidRPr="003F5B1F">
        <w:t>.</w:t>
      </w:r>
      <w:r w:rsidR="004C3352" w:rsidRPr="003F5B1F">
        <w:t xml:space="preserve"> </w:t>
      </w:r>
      <w:r w:rsidR="00170DF0" w:rsidRPr="003F5B1F">
        <w:t>P</w:t>
      </w:r>
      <w:r w:rsidR="00A4402A" w:rsidRPr="003F5B1F">
        <w:t>ara esse estudo</w:t>
      </w:r>
      <w:r w:rsidR="004C3352" w:rsidRPr="003F5B1F">
        <w:t xml:space="preserve">, </w:t>
      </w:r>
      <w:r w:rsidR="00671F36" w:rsidRPr="003F5B1F">
        <w:t>recorre-se</w:t>
      </w:r>
      <w:r w:rsidR="00607BDF" w:rsidRPr="003F5B1F">
        <w:t xml:space="preserve"> </w:t>
      </w:r>
      <w:r w:rsidR="004479DD" w:rsidRPr="003F5B1F">
        <w:t>à</w:t>
      </w:r>
      <w:r w:rsidR="004C3352" w:rsidRPr="003F5B1F">
        <w:t xml:space="preserve"> tabela</w:t>
      </w:r>
      <w:r w:rsidR="0067679E" w:rsidRPr="003F5B1F">
        <w:t xml:space="preserve"> I</w:t>
      </w:r>
      <w:r w:rsidR="00332BE5" w:rsidRPr="003F5B1F">
        <w:t xml:space="preserve">nvestimentos do Governo Federal por </w:t>
      </w:r>
      <w:r w:rsidR="0067679E" w:rsidRPr="003F5B1F">
        <w:t>Ó</w:t>
      </w:r>
      <w:r w:rsidR="00332BE5" w:rsidRPr="003F5B1F">
        <w:t>rgão</w:t>
      </w:r>
      <w:r w:rsidR="004C3352" w:rsidRPr="003F5B1F">
        <w:t xml:space="preserve"> </w:t>
      </w:r>
      <w:r w:rsidR="00170DF0" w:rsidRPr="003F5B1F">
        <w:t>nesse material adjacente</w:t>
      </w:r>
      <w:r w:rsidR="00E818FE" w:rsidRPr="003F5B1F">
        <w:t>,</w:t>
      </w:r>
      <w:r w:rsidR="00A4402A" w:rsidRPr="003F5B1F">
        <w:t xml:space="preserve"> </w:t>
      </w:r>
      <w:r w:rsidR="00F84EF5" w:rsidRPr="003F5B1F">
        <w:t>com a finalidade de</w:t>
      </w:r>
      <w:r w:rsidR="00E818FE" w:rsidRPr="003F5B1F">
        <w:t xml:space="preserve"> acessar</w:t>
      </w:r>
      <w:r w:rsidR="00F701FB" w:rsidRPr="003F5B1F">
        <w:t xml:space="preserve"> </w:t>
      </w:r>
      <w:r w:rsidR="00AA7EA0" w:rsidRPr="003F5B1F">
        <w:t>especificamente</w:t>
      </w:r>
      <w:r w:rsidR="006104CA" w:rsidRPr="003F5B1F">
        <w:t xml:space="preserve"> </w:t>
      </w:r>
      <w:r w:rsidR="00AA7EA0" w:rsidRPr="003F5B1F">
        <w:t>as</w:t>
      </w:r>
      <w:r w:rsidR="006104CA" w:rsidRPr="003F5B1F">
        <w:t xml:space="preserve"> </w:t>
      </w:r>
      <w:r w:rsidR="00F701FB" w:rsidRPr="003F5B1F">
        <w:t>informações sobre</w:t>
      </w:r>
      <w:r w:rsidR="00513F9A" w:rsidRPr="003F5B1F">
        <w:t xml:space="preserve"> </w:t>
      </w:r>
      <w:r w:rsidR="00540F75" w:rsidRPr="003F5B1F">
        <w:t>as despesas pagas</w:t>
      </w:r>
      <w:r w:rsidR="00F701FB" w:rsidRPr="003F5B1F">
        <w:t xml:space="preserve"> </w:t>
      </w:r>
      <w:r w:rsidR="00540F75" w:rsidRPr="003F5B1F">
        <w:t xml:space="preserve">e classificadas como </w:t>
      </w:r>
      <w:r w:rsidR="00F701FB" w:rsidRPr="003F5B1F">
        <w:t>investimento</w:t>
      </w:r>
      <w:r w:rsidR="00E02F30" w:rsidRPr="003F5B1F">
        <w:t xml:space="preserve"> dos </w:t>
      </w:r>
      <w:r w:rsidR="00A95262" w:rsidRPr="003F5B1F">
        <w:t>Poderes Executivo, Legislativo e Judiciário.</w:t>
      </w:r>
      <w:r w:rsidR="00540F75" w:rsidRPr="003F5B1F">
        <w:t xml:space="preserve"> </w:t>
      </w:r>
    </w:p>
    <w:p w14:paraId="6CEEAD43" w14:textId="77777777" w:rsidR="002C51FD" w:rsidRPr="003F5B1F" w:rsidRDefault="002C51FD" w:rsidP="000B7B0D"/>
    <w:p w14:paraId="0F67ACB2" w14:textId="2B271F2F" w:rsidR="00FB7C00" w:rsidRDefault="00AA50C1" w:rsidP="00567554">
      <w:pPr>
        <w:pStyle w:val="Ttulo2"/>
      </w:pPr>
      <w:bookmarkStart w:id="56" w:name="_Toc16087700"/>
      <w:r>
        <w:t>3</w:t>
      </w:r>
      <w:r w:rsidR="009F1B9B" w:rsidRPr="009F1B9B">
        <w:t>.2</w:t>
      </w:r>
      <w:r w:rsidR="002C51FD">
        <w:t>.</w:t>
      </w:r>
      <w:r w:rsidR="009F1B9B" w:rsidRPr="009F1B9B">
        <w:t xml:space="preserve"> </w:t>
      </w:r>
      <w:r w:rsidR="00D61283" w:rsidRPr="009F1B9B">
        <w:t>Estatísticas Fiscais Trimestrais do Governo Geral</w:t>
      </w:r>
      <w:bookmarkEnd w:id="56"/>
    </w:p>
    <w:p w14:paraId="16E40AC5" w14:textId="77777777" w:rsidR="002C51FD" w:rsidRPr="002C51FD" w:rsidRDefault="002C51FD" w:rsidP="002C51FD"/>
    <w:p w14:paraId="31133A6F" w14:textId="22DCE794" w:rsidR="00C6637E" w:rsidRDefault="00C6637E" w:rsidP="000B7B0D">
      <w:r w:rsidRPr="003F5B1F">
        <w:t xml:space="preserve">O termo Estatísticas de Finanças Públicas, na acepção concebida pelo Fundo Monetário Internacional – FMI, congrega um conjunto de princípios e conceitos com o objetivo de facilitar a análise da política fiscal dos governos, pela razão de representar economicamente a atividade </w:t>
      </w:r>
      <w:r w:rsidRPr="003F5B1F">
        <w:lastRenderedPageBreak/>
        <w:t>financeira dos entes. Atualmente, as diretrizes para a apresentação dessas estatísticas estão catalogadas no Manual de Estatísticas de Finanças Públicas de 2014 (</w:t>
      </w:r>
      <w:r w:rsidR="0014544D" w:rsidRPr="003F5B1F">
        <w:t>MEFP</w:t>
      </w:r>
      <w:r w:rsidRPr="003F5B1F">
        <w:t xml:space="preserve"> 2014</w:t>
      </w:r>
      <w:r w:rsidR="0014544D" w:rsidRPr="003F5B1F">
        <w:t>)</w:t>
      </w:r>
      <w:r w:rsidRPr="003F5B1F">
        <w:t>.</w:t>
      </w:r>
    </w:p>
    <w:p w14:paraId="0FACDF20" w14:textId="77777777" w:rsidR="003C6C04" w:rsidRPr="003F5B1F" w:rsidRDefault="003C6C04" w:rsidP="000B7B0D"/>
    <w:p w14:paraId="07970600" w14:textId="7A6A4984" w:rsidR="004E7040" w:rsidRPr="009F1B9B" w:rsidRDefault="00AA50C1" w:rsidP="00567554">
      <w:pPr>
        <w:pStyle w:val="Ttulo3"/>
      </w:pPr>
      <w:bookmarkStart w:id="57" w:name="_Toc16087701"/>
      <w:r>
        <w:t>3</w:t>
      </w:r>
      <w:r w:rsidR="00EA4181" w:rsidRPr="009F1B9B">
        <w:t>.2.1</w:t>
      </w:r>
      <w:r w:rsidR="004E7040" w:rsidRPr="009F1B9B">
        <w:t xml:space="preserve"> </w:t>
      </w:r>
      <w:r w:rsidR="00410EA1" w:rsidRPr="009F1B9B">
        <w:t xml:space="preserve">Contexto: </w:t>
      </w:r>
      <w:r w:rsidR="00C5640A" w:rsidRPr="009F1B9B">
        <w:t>MEFP</w:t>
      </w:r>
      <w:r w:rsidR="004E7040" w:rsidRPr="009F1B9B">
        <w:t xml:space="preserve"> 2001 e</w:t>
      </w:r>
      <w:r w:rsidR="005D1E36" w:rsidRPr="009F1B9B">
        <w:t xml:space="preserve"> a atualização em</w:t>
      </w:r>
      <w:r w:rsidR="004E7040" w:rsidRPr="009F1B9B">
        <w:t xml:space="preserve"> 2014</w:t>
      </w:r>
      <w:bookmarkEnd w:id="57"/>
    </w:p>
    <w:p w14:paraId="5CDCEC00" w14:textId="77777777" w:rsidR="003C6C04" w:rsidRDefault="003C6C04" w:rsidP="000B7B0D"/>
    <w:p w14:paraId="0402F556" w14:textId="75F8979A" w:rsidR="00B727B8" w:rsidRPr="003F5B1F" w:rsidRDefault="00040A55" w:rsidP="000B7B0D">
      <w:r w:rsidRPr="003F5B1F">
        <w:t>Em 2001, o FMI public</w:t>
      </w:r>
      <w:r w:rsidR="00BB4E3B" w:rsidRPr="003F5B1F">
        <w:t>a</w:t>
      </w:r>
      <w:r w:rsidRPr="003F5B1F">
        <w:t xml:space="preserve"> novo Manual de Estatísticas de Finanças Públicas (</w:t>
      </w:r>
      <w:r w:rsidR="0086636E" w:rsidRPr="003F5B1F">
        <w:t>MEFP</w:t>
      </w:r>
      <w:r w:rsidRPr="003F5B1F">
        <w:t xml:space="preserve"> 2001), que atualiza a edição de 1986 (</w:t>
      </w:r>
      <w:r w:rsidR="0086636E" w:rsidRPr="003F5B1F">
        <w:t>MEFP</w:t>
      </w:r>
      <w:r w:rsidRPr="003F5B1F">
        <w:t xml:space="preserve"> 1986)</w:t>
      </w:r>
      <w:r w:rsidR="00136C0B" w:rsidRPr="003F5B1F">
        <w:t>,</w:t>
      </w:r>
      <w:r w:rsidRPr="003F5B1F">
        <w:t xml:space="preserve"> na tentativa de apresentar um sistema estatístico integrado e harmonizado, na medida do possível, com a edição de 1993 do Sistema de Contas Nacionais</w:t>
      </w:r>
      <w:r w:rsidR="0086636E" w:rsidRPr="003F5B1F">
        <w:t xml:space="preserve"> (SC</w:t>
      </w:r>
      <w:r w:rsidR="00553F3C" w:rsidRPr="003F5B1F">
        <w:t>N)</w:t>
      </w:r>
      <w:r w:rsidR="00E6145F" w:rsidRPr="003F5B1F">
        <w:t xml:space="preserve"> e em consonância com os avanços nos marcos contábeis internacionais.</w:t>
      </w:r>
      <w:r w:rsidR="003D5274" w:rsidRPr="003F5B1F">
        <w:t xml:space="preserve"> </w:t>
      </w:r>
    </w:p>
    <w:p w14:paraId="3F6C6362" w14:textId="78128D81" w:rsidR="00040A55" w:rsidRPr="003F5B1F" w:rsidRDefault="00A8257C" w:rsidP="000B7B0D">
      <w:r w:rsidRPr="003F5B1F">
        <w:t xml:space="preserve">O objetivo </w:t>
      </w:r>
      <w:r w:rsidR="00BB4E3B" w:rsidRPr="003F5B1F">
        <w:t>é</w:t>
      </w:r>
      <w:r w:rsidRPr="003F5B1F">
        <w:t xml:space="preserve"> cobrir</w:t>
      </w:r>
      <w:r w:rsidR="00040A55" w:rsidRPr="003F5B1F">
        <w:t xml:space="preserve"> os conceitos, definições, classificações e regras contábeis </w:t>
      </w:r>
      <w:r w:rsidR="00222DC1" w:rsidRPr="003F5B1F">
        <w:t>em prol do</w:t>
      </w:r>
      <w:r w:rsidR="00040A55" w:rsidRPr="003F5B1F">
        <w:t xml:space="preserve"> fornec</w:t>
      </w:r>
      <w:r w:rsidR="00222DC1" w:rsidRPr="003F5B1F">
        <w:t>imento de</w:t>
      </w:r>
      <w:r w:rsidR="00040A55" w:rsidRPr="003F5B1F">
        <w:t xml:space="preserve"> uma estrutura analítica </w:t>
      </w:r>
      <w:r w:rsidR="0077513F" w:rsidRPr="003F5B1F">
        <w:t xml:space="preserve">mais ampla, </w:t>
      </w:r>
      <w:r w:rsidR="00535C18" w:rsidRPr="003F5B1F">
        <w:t>sob a</w:t>
      </w:r>
      <w:r w:rsidR="00040A55" w:rsidRPr="003F5B1F">
        <w:t xml:space="preserve"> qual as estatísticas podem ser resumidas e apresentadas em um formato apropriado para análise, planejamento e formulação de políticas públicas. Essa </w:t>
      </w:r>
      <w:r w:rsidR="00993045" w:rsidRPr="003F5B1F">
        <w:t>atualização</w:t>
      </w:r>
      <w:r w:rsidR="004568A0" w:rsidRPr="003F5B1F">
        <w:t xml:space="preserve"> </w:t>
      </w:r>
      <w:r w:rsidR="00EF7BC5" w:rsidRPr="003F5B1F">
        <w:t>retira</w:t>
      </w:r>
      <w:r w:rsidR="004568A0" w:rsidRPr="003F5B1F">
        <w:t xml:space="preserve"> o foco da gestão de liquidez de curto prazo </w:t>
      </w:r>
      <w:r w:rsidR="00390400" w:rsidRPr="003F5B1F">
        <w:t xml:space="preserve">e </w:t>
      </w:r>
      <w:r w:rsidR="00AF2F6D" w:rsidRPr="003F5B1F">
        <w:t xml:space="preserve">o direciona </w:t>
      </w:r>
      <w:r w:rsidR="004568A0" w:rsidRPr="003F5B1F">
        <w:t>para uma abordagem patrimonial</w:t>
      </w:r>
      <w:r w:rsidR="003B09EC" w:rsidRPr="003F5B1F">
        <w:t>,</w:t>
      </w:r>
      <w:r w:rsidR="004568A0" w:rsidRPr="003F5B1F">
        <w:t xml:space="preserve"> </w:t>
      </w:r>
      <w:r w:rsidR="003B09EC" w:rsidRPr="003F5B1F">
        <w:t>em que</w:t>
      </w:r>
      <w:r w:rsidR="004568A0" w:rsidRPr="003F5B1F">
        <w:t xml:space="preserve"> a sustentabilidade fiscal </w:t>
      </w:r>
      <w:r w:rsidR="00537775" w:rsidRPr="003F5B1F">
        <w:t>intertemporal</w:t>
      </w:r>
      <w:r w:rsidR="004568A0" w:rsidRPr="003F5B1F">
        <w:t xml:space="preserve"> se </w:t>
      </w:r>
      <w:r w:rsidR="001029B8" w:rsidRPr="003F5B1F">
        <w:t>reveste</w:t>
      </w:r>
      <w:r w:rsidR="004568A0" w:rsidRPr="003F5B1F">
        <w:t xml:space="preserve"> </w:t>
      </w:r>
      <w:r w:rsidR="001029B8" w:rsidRPr="003F5B1F">
        <w:t>n</w:t>
      </w:r>
      <w:r w:rsidR="004568A0" w:rsidRPr="003F5B1F">
        <w:t xml:space="preserve">o </w:t>
      </w:r>
      <w:r w:rsidR="001029B8" w:rsidRPr="003F5B1F">
        <w:t>principal</w:t>
      </w:r>
      <w:r w:rsidR="00A25B09" w:rsidRPr="003F5B1F">
        <w:t xml:space="preserve"> </w:t>
      </w:r>
      <w:r w:rsidR="00A63001" w:rsidRPr="003F5B1F">
        <w:t>alvo</w:t>
      </w:r>
      <w:r w:rsidR="00040A55" w:rsidRPr="003F5B1F">
        <w:t>.</w:t>
      </w:r>
    </w:p>
    <w:p w14:paraId="3C2D829B" w14:textId="79E1932E" w:rsidR="00040A55" w:rsidRPr="003F5B1F" w:rsidRDefault="00040A55" w:rsidP="000B7B0D">
      <w:r w:rsidRPr="003F5B1F">
        <w:t xml:space="preserve">Além dos objetivos gerais das análises de finanças públicas </w:t>
      </w:r>
      <w:r w:rsidR="00DB36B3" w:rsidRPr="003F5B1F">
        <w:t>(</w:t>
      </w:r>
      <w:r w:rsidR="00D82EF6" w:rsidRPr="003F5B1F">
        <w:t xml:space="preserve">o </w:t>
      </w:r>
      <w:r w:rsidRPr="003F5B1F">
        <w:t>tamanho do setor público,</w:t>
      </w:r>
      <w:r w:rsidR="00D82EF6" w:rsidRPr="003F5B1F">
        <w:t xml:space="preserve"> a </w:t>
      </w:r>
      <w:r w:rsidRPr="003F5B1F">
        <w:t>contribuição para a demanda agregada ou a pressão tributária</w:t>
      </w:r>
      <w:r w:rsidR="00DB36B3" w:rsidRPr="003F5B1F">
        <w:t>),</w:t>
      </w:r>
      <w:r w:rsidRPr="003F5B1F">
        <w:t xml:space="preserve"> os analistas também busca</w:t>
      </w:r>
      <w:r w:rsidR="00E71064" w:rsidRPr="003F5B1F">
        <w:t>m</w:t>
      </w:r>
      <w:r w:rsidRPr="003F5B1F">
        <w:t xml:space="preserve"> estudar outros aspectos, </w:t>
      </w:r>
      <w:r w:rsidR="005B11B6" w:rsidRPr="003F5B1F">
        <w:t>como</w:t>
      </w:r>
      <w:r w:rsidR="00171C50" w:rsidRPr="003F5B1F">
        <w:t xml:space="preserve"> a</w:t>
      </w:r>
      <w:r w:rsidRPr="003F5B1F">
        <w:t xml:space="preserve"> viabilidade das políticas fiscais, a dívida pública, a riqueza e os salários contingentes do governo e as obrigações de aposentadoria e assistência social. Para isso, em muitos casos é preciso </w:t>
      </w:r>
      <w:r w:rsidR="00075E3A" w:rsidRPr="003F5B1F">
        <w:t>ampliar</w:t>
      </w:r>
      <w:r w:rsidRPr="003F5B1F">
        <w:t xml:space="preserve"> </w:t>
      </w:r>
      <w:r w:rsidR="00371457" w:rsidRPr="003F5B1F">
        <w:t>o escopo d</w:t>
      </w:r>
      <w:r w:rsidR="00075E3A" w:rsidRPr="003F5B1F">
        <w:t xml:space="preserve">as </w:t>
      </w:r>
      <w:r w:rsidRPr="003F5B1F">
        <w:t>estatísticas para o Setor Público</w:t>
      </w:r>
      <w:r w:rsidR="00D07565" w:rsidRPr="003F5B1F">
        <w:t xml:space="preserve"> como um todo</w:t>
      </w:r>
      <w:r w:rsidR="00075E3A" w:rsidRPr="003F5B1F">
        <w:t>, em vez de se limitar</w:t>
      </w:r>
      <w:r w:rsidRPr="003F5B1F">
        <w:t xml:space="preserve"> </w:t>
      </w:r>
      <w:r w:rsidR="00075E3A" w:rsidRPr="003F5B1F">
        <w:t>a</w:t>
      </w:r>
      <w:r w:rsidRPr="003F5B1F">
        <w:t>o Governo Central</w:t>
      </w:r>
      <w:r w:rsidRPr="003F5B1F">
        <w:rPr>
          <w:vertAlign w:val="superscript"/>
        </w:rPr>
        <w:footnoteReference w:id="6"/>
      </w:r>
      <w:r w:rsidRPr="003F5B1F">
        <w:t>, pois as corporações públicas (financeiras ou não financeiras) podem alterar significativamente as métricas d</w:t>
      </w:r>
      <w:r w:rsidR="00E4062E" w:rsidRPr="003F5B1F">
        <w:t>as</w:t>
      </w:r>
      <w:r w:rsidRPr="003F5B1F">
        <w:t xml:space="preserve"> estatísticas fiscais. </w:t>
      </w:r>
      <w:r w:rsidR="00E4062E" w:rsidRPr="003F5B1F">
        <w:t>Por isso, d</w:t>
      </w:r>
      <w:r w:rsidR="007467BE" w:rsidRPr="003F5B1F">
        <w:t>a mesma forma que a</w:t>
      </w:r>
      <w:r w:rsidRPr="003F5B1F">
        <w:t xml:space="preserve"> edição de 1993 d</w:t>
      </w:r>
      <w:r w:rsidR="007467BE" w:rsidRPr="003F5B1F">
        <w:t>o SCN</w:t>
      </w:r>
      <w:r w:rsidRPr="003F5B1F">
        <w:t xml:space="preserve">, o </w:t>
      </w:r>
      <w:r w:rsidR="007467BE" w:rsidRPr="003F5B1F">
        <w:t>MEFP</w:t>
      </w:r>
      <w:r w:rsidRPr="003F5B1F">
        <w:t xml:space="preserve"> </w:t>
      </w:r>
      <w:r w:rsidR="00474D18" w:rsidRPr="003F5B1F">
        <w:t xml:space="preserve">2001 </w:t>
      </w:r>
      <w:r w:rsidRPr="003F5B1F">
        <w:t xml:space="preserve">apresenta informações tanto do Governo Central </w:t>
      </w:r>
      <w:r w:rsidR="00954D22" w:rsidRPr="003F5B1F">
        <w:t>quanto</w:t>
      </w:r>
      <w:r w:rsidRPr="003F5B1F">
        <w:t xml:space="preserve"> do Setor Público, ou seja, </w:t>
      </w:r>
      <w:r w:rsidR="00E964AB" w:rsidRPr="003F5B1F">
        <w:t>abrange</w:t>
      </w:r>
      <w:r w:rsidRPr="003F5B1F">
        <w:t xml:space="preserve"> informações fiscais sobre as corporações públicas</w:t>
      </w:r>
      <w:r w:rsidR="00954D22" w:rsidRPr="003F5B1F">
        <w:t xml:space="preserve"> e</w:t>
      </w:r>
      <w:r w:rsidRPr="003F5B1F">
        <w:t xml:space="preserve"> amplia as possibilidades para estudos e análises de finanças públicas.</w:t>
      </w:r>
    </w:p>
    <w:p w14:paraId="26E0F03D" w14:textId="4C82D420" w:rsidR="00040A55" w:rsidRPr="003F5B1F" w:rsidRDefault="00040A55" w:rsidP="000B7B0D">
      <w:r w:rsidRPr="003F5B1F">
        <w:t xml:space="preserve">Outra mudança relevante é a adoção do regime de competência. Enquanto a mensuração das estatísticas de finanças públicas </w:t>
      </w:r>
      <w:r w:rsidR="00122A79" w:rsidRPr="003F5B1F">
        <w:t xml:space="preserve">pelo MEFP 1986 </w:t>
      </w:r>
      <w:r w:rsidRPr="003F5B1F">
        <w:t xml:space="preserve">é definida pelo </w:t>
      </w:r>
      <w:r w:rsidR="002C6091" w:rsidRPr="003F5B1F">
        <w:t>momento</w:t>
      </w:r>
      <w:r w:rsidRPr="003F5B1F">
        <w:t xml:space="preserve"> em que a administração pública de fato efetuou o pagamento ou recebeu os recursos, a </w:t>
      </w:r>
      <w:r w:rsidR="00DC1F17" w:rsidRPr="003F5B1F">
        <w:t>edição</w:t>
      </w:r>
      <w:r w:rsidRPr="003F5B1F">
        <w:t xml:space="preserve"> de 2001 </w:t>
      </w:r>
      <w:r w:rsidRPr="003F5B1F">
        <w:lastRenderedPageBreak/>
        <w:t xml:space="preserve">adota o regime de competência, </w:t>
      </w:r>
      <w:r w:rsidR="00E515D3" w:rsidRPr="003F5B1F">
        <w:t xml:space="preserve">pelo </w:t>
      </w:r>
      <w:r w:rsidR="00832547" w:rsidRPr="003F5B1F">
        <w:t xml:space="preserve">qual </w:t>
      </w:r>
      <w:r w:rsidRPr="003F5B1F">
        <w:t xml:space="preserve">os fluxos são registrados no momento em que o valor econômico é criado, transformado, trocado, transferido ou extinto, mesmo que não tenha ocorrido de fato a movimentação financeira. Essa mudança permite que as transações não monetárias sejam totalmente integradas ao sistema, </w:t>
      </w:r>
      <w:r w:rsidR="004E5B40" w:rsidRPr="003F5B1F">
        <w:t>um ganho em relação</w:t>
      </w:r>
      <w:r w:rsidR="0094056B" w:rsidRPr="003F5B1F">
        <w:t xml:space="preserve"> ao modelo anterior, </w:t>
      </w:r>
      <w:r w:rsidR="004E5B40" w:rsidRPr="003F5B1F">
        <w:t>em que</w:t>
      </w:r>
      <w:r w:rsidRPr="003F5B1F">
        <w:t xml:space="preserve"> apenas algumas dessas transações eram incluídas</w:t>
      </w:r>
      <w:r w:rsidR="00894674" w:rsidRPr="003F5B1F">
        <w:t xml:space="preserve"> como itens de informação</w:t>
      </w:r>
      <w:r w:rsidRPr="003F5B1F">
        <w:t>.</w:t>
      </w:r>
    </w:p>
    <w:p w14:paraId="1E6D29F5" w14:textId="6057D475" w:rsidR="00040A55" w:rsidRPr="003F5B1F" w:rsidRDefault="00040A55" w:rsidP="000B7B0D">
      <w:r w:rsidRPr="003F5B1F">
        <w:t xml:space="preserve">A estrutura analítica do </w:t>
      </w:r>
      <w:r w:rsidR="009D29AF" w:rsidRPr="003F5B1F">
        <w:t>MEFP</w:t>
      </w:r>
      <w:r w:rsidRPr="003F5B1F">
        <w:t xml:space="preserve"> 2001 também incorpor</w:t>
      </w:r>
      <w:r w:rsidR="005827BD" w:rsidRPr="003F5B1F">
        <w:t>a</w:t>
      </w:r>
      <w:r w:rsidRPr="003F5B1F">
        <w:t xml:space="preserve"> novos itens de resultado,</w:t>
      </w:r>
      <w:r w:rsidR="00F37F6B" w:rsidRPr="003F5B1F">
        <w:t xml:space="preserve"> ao passo que</w:t>
      </w:r>
      <w:r w:rsidRPr="003F5B1F">
        <w:t xml:space="preserve"> o </w:t>
      </w:r>
      <w:r w:rsidR="009D29AF" w:rsidRPr="003F5B1F">
        <w:t>MEFP</w:t>
      </w:r>
      <w:r w:rsidRPr="003F5B1F">
        <w:t xml:space="preserve"> 1986 se concentra em apenas um resultado de déficit/superávit global. </w:t>
      </w:r>
      <w:r w:rsidR="000606C4" w:rsidRPr="003F5B1F">
        <w:t>O propósito</w:t>
      </w:r>
      <w:r w:rsidRPr="003F5B1F">
        <w:t xml:space="preserve"> dessa mudança é que a análise das estatísticas do Governo Central ou do Setor Público inclu</w:t>
      </w:r>
      <w:r w:rsidR="00D32879" w:rsidRPr="003F5B1F">
        <w:t>a</w:t>
      </w:r>
      <w:r w:rsidRPr="003F5B1F">
        <w:t xml:space="preserve"> uma série de fatores que nenhum indicador isoladamente pode</w:t>
      </w:r>
      <w:r w:rsidR="00CA6AC7">
        <w:t>ria</w:t>
      </w:r>
      <w:r w:rsidRPr="003F5B1F">
        <w:t xml:space="preserve"> resumir. </w:t>
      </w:r>
      <w:r w:rsidR="0088178E" w:rsidRPr="003F5B1F">
        <w:t>Assim, t</w:t>
      </w:r>
      <w:r w:rsidRPr="003F5B1F">
        <w:t xml:space="preserve">rês demonstrativos podem ser combinados para demonstrar que toda a variação dos estoques resulta dos fluxos: o Demonstrativo de Operações do Governo </w:t>
      </w:r>
      <w:r w:rsidR="007E0C73" w:rsidRPr="003F5B1F">
        <w:t xml:space="preserve">Geral </w:t>
      </w:r>
      <w:r w:rsidR="001A7683" w:rsidRPr="003F5B1F">
        <w:t xml:space="preserve">– DOGG </w:t>
      </w:r>
      <w:r w:rsidRPr="003F5B1F">
        <w:t xml:space="preserve">(um resumo das transações do setor de governo geral em certo período contábil), </w:t>
      </w:r>
      <w:r w:rsidR="001A7683" w:rsidRPr="003F5B1F">
        <w:t xml:space="preserve">o </w:t>
      </w:r>
      <w:r w:rsidRPr="003F5B1F">
        <w:t xml:space="preserve">Demonstrativo de Outros Fluxos Econômicos (apresenta as variações dos estoques de ativos, </w:t>
      </w:r>
      <w:r w:rsidR="0034702B" w:rsidRPr="003F5B1F">
        <w:t xml:space="preserve">de </w:t>
      </w:r>
      <w:r w:rsidRPr="003F5B1F">
        <w:t xml:space="preserve">passivos e </w:t>
      </w:r>
      <w:r w:rsidR="0034702B" w:rsidRPr="003F5B1F">
        <w:t xml:space="preserve">de </w:t>
      </w:r>
      <w:r w:rsidRPr="003F5B1F">
        <w:t xml:space="preserve">patrimônio líquido resultantes de distintas fontes de transações) e </w:t>
      </w:r>
      <w:r w:rsidR="0034702B" w:rsidRPr="003F5B1F">
        <w:t xml:space="preserve">o </w:t>
      </w:r>
      <w:r w:rsidRPr="003F5B1F">
        <w:t>Balanço Patrimonial (registra os estoques de ativos, passivos e patrimônio líquido do setor de governo geral ao término de cada período contábil). Além d</w:t>
      </w:r>
      <w:r w:rsidR="00874BF9" w:rsidRPr="003F5B1F">
        <w:t>esses</w:t>
      </w:r>
      <w:r w:rsidRPr="003F5B1F">
        <w:t xml:space="preserve">, o arcabouço inclui o Demonstrativo de Fontes e Usos de Caixa, </w:t>
      </w:r>
      <w:r w:rsidR="00AB2E83" w:rsidRPr="003F5B1F">
        <w:t>imbuído de</w:t>
      </w:r>
      <w:r w:rsidRPr="003F5B1F">
        <w:t xml:space="preserve"> fornece</w:t>
      </w:r>
      <w:r w:rsidR="00AB2E83" w:rsidRPr="003F5B1F">
        <w:t>r</w:t>
      </w:r>
      <w:r w:rsidRPr="003F5B1F">
        <w:t xml:space="preserve"> informações essenciais sobre liquidez usando classificação semelhante à do </w:t>
      </w:r>
      <w:r w:rsidR="0024571D" w:rsidRPr="003F5B1F">
        <w:t>DOGG</w:t>
      </w:r>
      <w:r w:rsidRPr="003F5B1F">
        <w:t xml:space="preserve">. </w:t>
      </w:r>
    </w:p>
    <w:p w14:paraId="5CEF4EA7" w14:textId="5794A4C3" w:rsidR="00040A55" w:rsidRPr="003F5B1F" w:rsidRDefault="005C0A00" w:rsidP="000B7B0D">
      <w:r w:rsidRPr="003F5B1F">
        <w:t>Em adição</w:t>
      </w:r>
      <w:r w:rsidR="00040A55" w:rsidRPr="003F5B1F">
        <w:t xml:space="preserve">, o </w:t>
      </w:r>
      <w:r w:rsidR="00384D79" w:rsidRPr="003F5B1F">
        <w:t>MEFP</w:t>
      </w:r>
      <w:r w:rsidR="00040A55" w:rsidRPr="003F5B1F">
        <w:t xml:space="preserve"> 2001 apresenta o registro completo das transações e dos fluxos econômicos, o que permite integrar plenamente os fluxos e </w:t>
      </w:r>
      <w:r w:rsidR="00384D79" w:rsidRPr="003F5B1F">
        <w:t xml:space="preserve">os </w:t>
      </w:r>
      <w:r w:rsidR="00040A55" w:rsidRPr="003F5B1F">
        <w:t xml:space="preserve">saldos, bem como conciliar as diferenças entre os balanços de abertura e de fechamento. O </w:t>
      </w:r>
      <w:r w:rsidR="00172D1D" w:rsidRPr="003F5B1F">
        <w:t>MEFP</w:t>
      </w:r>
      <w:r w:rsidR="00040A55" w:rsidRPr="003F5B1F">
        <w:t xml:space="preserve"> 1986, por sua vez, só permite essa conciliação </w:t>
      </w:r>
      <w:r w:rsidR="00172D1D" w:rsidRPr="003F5B1F">
        <w:t>por meio</w:t>
      </w:r>
      <w:r w:rsidR="00040A55" w:rsidRPr="003F5B1F">
        <w:t xml:space="preserve"> de informações complementares. A integração de fluxos e estoques introduzida no novo manual evidencia a evolução temporal do Patrimônio Líquido do governo.</w:t>
      </w:r>
    </w:p>
    <w:p w14:paraId="63A954C7" w14:textId="595A3F4C" w:rsidR="00040A55" w:rsidRPr="003F5B1F" w:rsidRDefault="00040A55" w:rsidP="000B7B0D">
      <w:r w:rsidRPr="003F5B1F">
        <w:t xml:space="preserve">Embora o </w:t>
      </w:r>
      <w:r w:rsidR="00C74C62" w:rsidRPr="003F5B1F">
        <w:t>MEFP</w:t>
      </w:r>
      <w:r w:rsidRPr="003F5B1F">
        <w:t xml:space="preserve"> 2001 tenha se harmonizado com o Sistema de Contas Nacionais de 1993, ainda </w:t>
      </w:r>
      <w:r w:rsidR="008074DC" w:rsidRPr="003F5B1F">
        <w:t>resta</w:t>
      </w:r>
      <w:r w:rsidRPr="003F5B1F">
        <w:t xml:space="preserve"> uma importante diferença entre os dois: enquanto aquele centra-se em transações financeiras, este também se concentra na produção e consumo de bens e serviços. </w:t>
      </w:r>
      <w:r w:rsidR="000E63ED" w:rsidRPr="003F5B1F">
        <w:t>Há</w:t>
      </w:r>
      <w:r w:rsidRPr="003F5B1F">
        <w:t xml:space="preserve"> </w:t>
      </w:r>
      <w:r w:rsidR="000E63ED" w:rsidRPr="003F5B1F">
        <w:t>também</w:t>
      </w:r>
      <w:r w:rsidRPr="003F5B1F">
        <w:t xml:space="preserve"> diferenças importantes no tratamento da formação de capital por conta própria, </w:t>
      </w:r>
      <w:r w:rsidR="00115EE5" w:rsidRPr="003F5B1F">
        <w:t xml:space="preserve">dos </w:t>
      </w:r>
      <w:r w:rsidRPr="003F5B1F">
        <w:t xml:space="preserve">sistemas de aposentadoria para funcionários públicos e </w:t>
      </w:r>
      <w:r w:rsidR="00115EE5" w:rsidRPr="003F5B1F">
        <w:t>d</w:t>
      </w:r>
      <w:r w:rsidRPr="003F5B1F">
        <w:t>o grau de consolidação.</w:t>
      </w:r>
    </w:p>
    <w:p w14:paraId="722636A6" w14:textId="0B2F0DAC" w:rsidR="00040A55" w:rsidRPr="003F5B1F" w:rsidRDefault="002A7627" w:rsidP="000B7B0D">
      <w:r w:rsidRPr="003F5B1F">
        <w:t>Já a</w:t>
      </w:r>
      <w:r w:rsidR="00040A55" w:rsidRPr="003F5B1F">
        <w:t xml:space="preserve"> versão de 2014 do Manual de Estatísticas de Finanças Públicas (</w:t>
      </w:r>
      <w:r w:rsidR="00111F58" w:rsidRPr="003F5B1F">
        <w:t>MEFP</w:t>
      </w:r>
      <w:r w:rsidR="00040A55" w:rsidRPr="003F5B1F">
        <w:t xml:space="preserve"> 2014) atualiza as diretrizes internacionalmente reconhecidas </w:t>
      </w:r>
      <w:r w:rsidR="003C43AC" w:rsidRPr="003F5B1F">
        <w:t>de compilação</w:t>
      </w:r>
      <w:r w:rsidR="00040A55" w:rsidRPr="003F5B1F">
        <w:t xml:space="preserve"> </w:t>
      </w:r>
      <w:r w:rsidR="003C43AC" w:rsidRPr="003F5B1F">
        <w:t xml:space="preserve">de </w:t>
      </w:r>
      <w:r w:rsidR="00040A55" w:rsidRPr="003F5B1F">
        <w:t xml:space="preserve">estatísticas estabelecidas pelo </w:t>
      </w:r>
      <w:r w:rsidR="004E499D" w:rsidRPr="003F5B1F">
        <w:t>MEFP</w:t>
      </w:r>
      <w:r w:rsidR="00040A55" w:rsidRPr="003F5B1F">
        <w:t xml:space="preserve"> 2001, </w:t>
      </w:r>
      <w:r w:rsidR="007F77CF" w:rsidRPr="003F5B1F">
        <w:t>integrando-se</w:t>
      </w:r>
      <w:r w:rsidR="00040A55" w:rsidRPr="003F5B1F">
        <w:t xml:space="preserve"> com as atualizações de outros manuais e guias de estatísticas macroeconômicas</w:t>
      </w:r>
      <w:r w:rsidR="00113A5F" w:rsidRPr="003F5B1F">
        <w:t>, tais como</w:t>
      </w:r>
      <w:r w:rsidR="00040A55" w:rsidRPr="003F5B1F">
        <w:t xml:space="preserve"> o Sistema de Contas Nacionais de 2008</w:t>
      </w:r>
      <w:r w:rsidR="00D10C8C" w:rsidRPr="003F5B1F">
        <w:t xml:space="preserve"> (SCN </w:t>
      </w:r>
      <w:r w:rsidR="00D10C8C" w:rsidRPr="003F5B1F">
        <w:lastRenderedPageBreak/>
        <w:t>2008)</w:t>
      </w:r>
      <w:r w:rsidR="00040A55" w:rsidRPr="003F5B1F">
        <w:t xml:space="preserve">, a </w:t>
      </w:r>
      <w:r w:rsidR="00D947BE" w:rsidRPr="003F5B1F">
        <w:t>6</w:t>
      </w:r>
      <w:r w:rsidR="001B3DAD" w:rsidRPr="003F5B1F">
        <w:t>ª</w:t>
      </w:r>
      <w:r w:rsidR="00040A55" w:rsidRPr="003F5B1F">
        <w:t xml:space="preserve"> edição do </w:t>
      </w:r>
      <w:r w:rsidR="00040A55" w:rsidRPr="003F5B1F">
        <w:rPr>
          <w:i/>
        </w:rPr>
        <w:t xml:space="preserve">Balance </w:t>
      </w:r>
      <w:proofErr w:type="spellStart"/>
      <w:r w:rsidR="00040A55" w:rsidRPr="003F5B1F">
        <w:rPr>
          <w:i/>
        </w:rPr>
        <w:t>of</w:t>
      </w:r>
      <w:proofErr w:type="spellEnd"/>
      <w:r w:rsidR="00040A55" w:rsidRPr="003F5B1F">
        <w:rPr>
          <w:i/>
        </w:rPr>
        <w:t xml:space="preserve"> </w:t>
      </w:r>
      <w:proofErr w:type="spellStart"/>
      <w:r w:rsidR="00040A55" w:rsidRPr="003F5B1F">
        <w:rPr>
          <w:i/>
        </w:rPr>
        <w:t>Payments</w:t>
      </w:r>
      <w:proofErr w:type="spellEnd"/>
      <w:r w:rsidR="00040A55" w:rsidRPr="003F5B1F">
        <w:rPr>
          <w:i/>
        </w:rPr>
        <w:t xml:space="preserve"> </w:t>
      </w:r>
      <w:proofErr w:type="spellStart"/>
      <w:r w:rsidR="00040A55" w:rsidRPr="003F5B1F">
        <w:rPr>
          <w:i/>
        </w:rPr>
        <w:t>and</w:t>
      </w:r>
      <w:proofErr w:type="spellEnd"/>
      <w:r w:rsidR="00040A55" w:rsidRPr="003F5B1F">
        <w:rPr>
          <w:i/>
        </w:rPr>
        <w:t xml:space="preserve"> </w:t>
      </w:r>
      <w:proofErr w:type="spellStart"/>
      <w:r w:rsidR="00040A55" w:rsidRPr="003F5B1F">
        <w:rPr>
          <w:i/>
        </w:rPr>
        <w:t>International</w:t>
      </w:r>
      <w:proofErr w:type="spellEnd"/>
      <w:r w:rsidR="00040A55" w:rsidRPr="003F5B1F">
        <w:rPr>
          <w:i/>
        </w:rPr>
        <w:t xml:space="preserve"> </w:t>
      </w:r>
      <w:proofErr w:type="spellStart"/>
      <w:r w:rsidR="00040A55" w:rsidRPr="003F5B1F">
        <w:rPr>
          <w:i/>
        </w:rPr>
        <w:t>Investment</w:t>
      </w:r>
      <w:proofErr w:type="spellEnd"/>
      <w:r w:rsidR="00040A55" w:rsidRPr="003F5B1F">
        <w:rPr>
          <w:i/>
        </w:rPr>
        <w:t xml:space="preserve"> Position Manual</w:t>
      </w:r>
      <w:r w:rsidR="00040A55" w:rsidRPr="003F5B1F">
        <w:t xml:space="preserve"> (BPM6) e o </w:t>
      </w:r>
      <w:proofErr w:type="spellStart"/>
      <w:r w:rsidR="00040A55" w:rsidRPr="003F5B1F">
        <w:rPr>
          <w:i/>
        </w:rPr>
        <w:t>Monetary</w:t>
      </w:r>
      <w:proofErr w:type="spellEnd"/>
      <w:r w:rsidR="00040A55" w:rsidRPr="003F5B1F">
        <w:rPr>
          <w:i/>
        </w:rPr>
        <w:t xml:space="preserve"> </w:t>
      </w:r>
      <w:proofErr w:type="spellStart"/>
      <w:r w:rsidR="00040A55" w:rsidRPr="003F5B1F">
        <w:rPr>
          <w:i/>
        </w:rPr>
        <w:t>and</w:t>
      </w:r>
      <w:proofErr w:type="spellEnd"/>
      <w:r w:rsidR="00040A55" w:rsidRPr="003F5B1F">
        <w:rPr>
          <w:i/>
        </w:rPr>
        <w:t xml:space="preserve"> Financial </w:t>
      </w:r>
      <w:proofErr w:type="spellStart"/>
      <w:r w:rsidR="00040A55" w:rsidRPr="003F5B1F">
        <w:rPr>
          <w:i/>
        </w:rPr>
        <w:t>Statistics</w:t>
      </w:r>
      <w:proofErr w:type="spellEnd"/>
      <w:r w:rsidR="00040A55" w:rsidRPr="003F5B1F">
        <w:rPr>
          <w:i/>
        </w:rPr>
        <w:t xml:space="preserve"> Manual</w:t>
      </w:r>
      <w:r w:rsidR="00040A55" w:rsidRPr="003F5B1F">
        <w:t xml:space="preserve"> (MFSM). </w:t>
      </w:r>
      <w:r w:rsidR="006E3DA0" w:rsidRPr="003F5B1F">
        <w:t>De resto</w:t>
      </w:r>
      <w:r w:rsidR="00040A55" w:rsidRPr="003F5B1F">
        <w:t xml:space="preserve">, o GFSM 2014 apresenta tratamentos aprimorados para eventos específicos, </w:t>
      </w:r>
      <w:r w:rsidR="00165833" w:rsidRPr="003F5B1F">
        <w:t>aperfeiçoa</w:t>
      </w:r>
      <w:r w:rsidR="00040A55" w:rsidRPr="003F5B1F">
        <w:t xml:space="preserve"> aspectos de relatórios que se mostraram complexos</w:t>
      </w:r>
      <w:r w:rsidR="001701C6" w:rsidRPr="003F5B1F">
        <w:t>, além d</w:t>
      </w:r>
      <w:r w:rsidR="00040A55" w:rsidRPr="003F5B1F">
        <w:t>e leva</w:t>
      </w:r>
      <w:r w:rsidR="001701C6" w:rsidRPr="003F5B1F">
        <w:t>r</w:t>
      </w:r>
      <w:r w:rsidR="00040A55" w:rsidRPr="003F5B1F">
        <w:t xml:space="preserve"> em consideração novas necessidades dos analistas de estatísticas de finanças públicas.</w:t>
      </w:r>
    </w:p>
    <w:p w14:paraId="5DB6E248" w14:textId="22569BFC" w:rsidR="009B53D1" w:rsidRDefault="00372974" w:rsidP="000B7B0D">
      <w:r w:rsidRPr="003F5B1F">
        <w:t>Em resumo</w:t>
      </w:r>
      <w:r w:rsidR="00040A55" w:rsidRPr="003F5B1F">
        <w:t xml:space="preserve">, o </w:t>
      </w:r>
      <w:r w:rsidR="001701C6" w:rsidRPr="003F5B1F">
        <w:t>MEFP</w:t>
      </w:r>
      <w:r w:rsidR="00040A55" w:rsidRPr="003F5B1F">
        <w:t xml:space="preserve"> 2014 </w:t>
      </w:r>
      <w:r w:rsidR="00A2671E" w:rsidRPr="003F5B1F">
        <w:t xml:space="preserve">se </w:t>
      </w:r>
      <w:r w:rsidR="00040A55" w:rsidRPr="003F5B1F">
        <w:t xml:space="preserve">atualiza em relação ao </w:t>
      </w:r>
      <w:r w:rsidR="00E317AB" w:rsidRPr="003F5B1F">
        <w:t>MEFP</w:t>
      </w:r>
      <w:r w:rsidR="00040A55" w:rsidRPr="003F5B1F">
        <w:t xml:space="preserve"> 2001 para se integrar com </w:t>
      </w:r>
      <w:r w:rsidR="00A322D5" w:rsidRPr="003F5B1F">
        <w:t xml:space="preserve">a atualização de </w:t>
      </w:r>
      <w:r w:rsidR="00040A55" w:rsidRPr="003F5B1F">
        <w:t>outros sistemas estatísticos macroeconômicos reconhecidos internacionalmente</w:t>
      </w:r>
      <w:r w:rsidR="00E12D50" w:rsidRPr="003F5B1F">
        <w:t xml:space="preserve">, </w:t>
      </w:r>
      <w:r w:rsidR="0090471C" w:rsidRPr="003F5B1F">
        <w:t xml:space="preserve">o que </w:t>
      </w:r>
      <w:r w:rsidR="0008340B" w:rsidRPr="003F5B1F">
        <w:t>propicia</w:t>
      </w:r>
      <w:r w:rsidR="007A1912" w:rsidRPr="003F5B1F">
        <w:t xml:space="preserve"> </w:t>
      </w:r>
      <w:r w:rsidR="007F29CA" w:rsidRPr="003F5B1F">
        <w:t xml:space="preserve">a construção de </w:t>
      </w:r>
      <w:r w:rsidR="007A1912" w:rsidRPr="003F5B1F">
        <w:t xml:space="preserve">análises macrofiscais </w:t>
      </w:r>
      <w:r w:rsidR="0090471C" w:rsidRPr="003F5B1F">
        <w:t>consistentes.</w:t>
      </w:r>
      <w:r w:rsidR="007A1912" w:rsidRPr="003F5B1F">
        <w:t xml:space="preserve"> </w:t>
      </w:r>
      <w:r w:rsidR="00A13F69" w:rsidRPr="003F5B1F">
        <w:t>Ele também</w:t>
      </w:r>
      <w:r w:rsidR="00040A55" w:rsidRPr="003F5B1F">
        <w:t xml:space="preserve"> aprimora os relatórios, </w:t>
      </w:r>
      <w:r w:rsidR="00753E29" w:rsidRPr="003F5B1F">
        <w:t>sem alterar</w:t>
      </w:r>
      <w:r w:rsidR="00040A55" w:rsidRPr="003F5B1F">
        <w:t xml:space="preserve"> </w:t>
      </w:r>
      <w:r w:rsidR="00753E29" w:rsidRPr="003F5B1F">
        <w:t>os principais avanços</w:t>
      </w:r>
      <w:r w:rsidR="00040A55" w:rsidRPr="003F5B1F">
        <w:t xml:space="preserve"> em relação ao </w:t>
      </w:r>
      <w:r w:rsidR="00753E29" w:rsidRPr="003F5B1F">
        <w:t>MEFP</w:t>
      </w:r>
      <w:r w:rsidR="00040A55" w:rsidRPr="003F5B1F">
        <w:t xml:space="preserve"> 1986</w:t>
      </w:r>
      <w:r w:rsidR="00753E29" w:rsidRPr="003F5B1F">
        <w:t xml:space="preserve">, </w:t>
      </w:r>
      <w:r w:rsidR="00040A55" w:rsidRPr="003F5B1F">
        <w:t xml:space="preserve">implementadas ainda no </w:t>
      </w:r>
      <w:r w:rsidR="00753E29" w:rsidRPr="003F5B1F">
        <w:t>MEFP</w:t>
      </w:r>
      <w:r w:rsidR="00040A55" w:rsidRPr="003F5B1F">
        <w:t xml:space="preserve"> 2001</w:t>
      </w:r>
      <w:r w:rsidR="00A13F69" w:rsidRPr="003F5B1F">
        <w:t>, quais sejam</w:t>
      </w:r>
      <w:r w:rsidR="00BF5C60" w:rsidRPr="003F5B1F">
        <w:t>:</w:t>
      </w:r>
      <w:r w:rsidR="00040A55" w:rsidRPr="003F5B1F">
        <w:t xml:space="preserve"> cobertura tanto do Governo Central quanto do Setor Público; a introdução do regime de competência </w:t>
      </w:r>
      <w:r w:rsidR="00BF5C60" w:rsidRPr="003F5B1F">
        <w:t>em substituição ao</w:t>
      </w:r>
      <w:r w:rsidR="00040A55" w:rsidRPr="003F5B1F">
        <w:t xml:space="preserve"> regime de caixa; valorização a preços correntes de mercado</w:t>
      </w:r>
      <w:r w:rsidR="00040A55" w:rsidRPr="003F5B1F">
        <w:rPr>
          <w:vertAlign w:val="superscript"/>
        </w:rPr>
        <w:footnoteReference w:id="7"/>
      </w:r>
      <w:r w:rsidR="00040A55" w:rsidRPr="003F5B1F">
        <w:t xml:space="preserve"> de fluxos econômicos, bem como ativos, passivos e patrimônio líquido; balanços patrimoniais completos, que incluem todas as posições de estoque de ativos e passivos financeiros e não financeiros; a integração completa entre fluxos econômicos e posição de estoque; e uma nova estrutura analítica com diversos itens de resultado ao invés de apenas um resultado global.</w:t>
      </w:r>
    </w:p>
    <w:p w14:paraId="6FAAE02C" w14:textId="77777777" w:rsidR="003C6C04" w:rsidRPr="003F5B1F" w:rsidRDefault="003C6C04" w:rsidP="000B7B0D"/>
    <w:p w14:paraId="5DA815A6" w14:textId="6D36005A" w:rsidR="009B53D1" w:rsidRDefault="00FD17D4" w:rsidP="00567554">
      <w:pPr>
        <w:pStyle w:val="Ttulo3"/>
      </w:pPr>
      <w:bookmarkStart w:id="58" w:name="_Toc16087702"/>
      <w:r>
        <w:t>3</w:t>
      </w:r>
      <w:r w:rsidR="006107DE" w:rsidRPr="009F1B9B">
        <w:t>.2</w:t>
      </w:r>
      <w:r w:rsidR="0061690B" w:rsidRPr="009F1B9B">
        <w:t>.2</w:t>
      </w:r>
      <w:r w:rsidR="006107DE" w:rsidRPr="009F1B9B">
        <w:t xml:space="preserve"> </w:t>
      </w:r>
      <w:r w:rsidR="00826B40" w:rsidRPr="009F1B9B">
        <w:t>Principais c</w:t>
      </w:r>
      <w:r w:rsidR="00B3646A" w:rsidRPr="009F1B9B">
        <w:t>aracterísticas</w:t>
      </w:r>
      <w:bookmarkEnd w:id="58"/>
    </w:p>
    <w:p w14:paraId="4BB86944" w14:textId="77777777" w:rsidR="003C6C04" w:rsidRPr="003C6C04" w:rsidRDefault="003C6C04" w:rsidP="003C6C04"/>
    <w:p w14:paraId="49B591E9" w14:textId="349F6DB5" w:rsidR="00C6637E" w:rsidRPr="003F5B1F" w:rsidRDefault="00C6637E" w:rsidP="000B7B0D">
      <w:r w:rsidRPr="003F5B1F">
        <w:t xml:space="preserve">O aperfeiçoamento das estatísticas fiscais no Brasil no sentido da convergência com os conceitos e metodologias estabelecidas pelo </w:t>
      </w:r>
      <w:r w:rsidR="00F25FEF" w:rsidRPr="003F5B1F">
        <w:t>MEFP</w:t>
      </w:r>
      <w:r w:rsidRPr="003F5B1F">
        <w:t xml:space="preserve"> 2014 do FMI se configura valoroso pelo fato de construir agregados econômicos harmonizados internacionalmente, permitindo a comparação entre países, e com o Sistema de Contas Nacionais, possibilitando uma análise mais precisa das relações entre as variáveis fiscais e econômicas.</w:t>
      </w:r>
    </w:p>
    <w:p w14:paraId="55AB6C76" w14:textId="09ACB458" w:rsidR="00C6637E" w:rsidRPr="003F5B1F" w:rsidRDefault="00C6637E" w:rsidP="000B7B0D">
      <w:r w:rsidRPr="003F5B1F">
        <w:t xml:space="preserve">No contexto das publicações que convergem para o </w:t>
      </w:r>
      <w:r w:rsidR="007B0F37" w:rsidRPr="003F5B1F">
        <w:t>MEFP</w:t>
      </w:r>
      <w:r w:rsidRPr="003F5B1F">
        <w:t xml:space="preserve"> 2014, destaca-se o Boletim de Estatísticas Fiscais Trimestrais do Governo Geral, confeccionado pela Secretaria do Tesouro Nacional</w:t>
      </w:r>
      <w:r w:rsidR="00CF0D76" w:rsidRPr="003F5B1F">
        <w:t>. Esse boletim</w:t>
      </w:r>
      <w:r w:rsidRPr="003F5B1F">
        <w:t xml:space="preserve"> apresenta uma estimativa das finanças públicas bem próxima </w:t>
      </w:r>
      <w:r w:rsidR="007C2C49" w:rsidRPr="003F5B1F">
        <w:t>a</w:t>
      </w:r>
      <w:r w:rsidRPr="003F5B1F">
        <w:t>o</w:t>
      </w:r>
      <w:r w:rsidR="005B3BFB" w:rsidRPr="003F5B1F">
        <w:t xml:space="preserve"> valor dos</w:t>
      </w:r>
      <w:r w:rsidRPr="003F5B1F">
        <w:t xml:space="preserve"> dados definitivos, </w:t>
      </w:r>
      <w:r w:rsidR="00FA1672" w:rsidRPr="003F5B1F">
        <w:t>que</w:t>
      </w:r>
      <w:r w:rsidRPr="003F5B1F">
        <w:t xml:space="preserve"> são publicados anualmente em um relatório denominado “Estatísticas de Finanças Públicas e Conta Intermediária do Governo”</w:t>
      </w:r>
      <w:r w:rsidR="0049583B" w:rsidRPr="003F5B1F">
        <w:t xml:space="preserve">. </w:t>
      </w:r>
      <w:r w:rsidR="00484E75" w:rsidRPr="003F5B1F">
        <w:t xml:space="preserve">A estimativa, além de </w:t>
      </w:r>
      <w:r w:rsidR="00484E75" w:rsidRPr="003F5B1F">
        <w:lastRenderedPageBreak/>
        <w:t>se</w:t>
      </w:r>
      <w:r w:rsidR="00A12E59" w:rsidRPr="003F5B1F">
        <w:t xml:space="preserve"> provar</w:t>
      </w:r>
      <w:r w:rsidR="0097615B" w:rsidRPr="003F5B1F">
        <w:t xml:space="preserve"> bastante</w:t>
      </w:r>
      <w:r w:rsidR="00484E75" w:rsidRPr="003F5B1F">
        <w:t xml:space="preserve"> confiável,</w:t>
      </w:r>
      <w:r w:rsidRPr="003F5B1F">
        <w:t xml:space="preserve"> </w:t>
      </w:r>
      <w:r w:rsidR="00A12E59" w:rsidRPr="003F5B1F">
        <w:t xml:space="preserve">torna o boletim de Estatísticas Fiscais Trimestrais </w:t>
      </w:r>
      <w:r w:rsidRPr="003F5B1F">
        <w:t xml:space="preserve">mais tempestivo para a estatística fiscal. </w:t>
      </w:r>
    </w:p>
    <w:p w14:paraId="2C6CDC63" w14:textId="70CD0A6C" w:rsidR="00C6637E" w:rsidRPr="003F5B1F" w:rsidRDefault="007F0F4E" w:rsidP="000B7B0D">
      <w:r w:rsidRPr="003F5B1F">
        <w:t xml:space="preserve">No que concerne à abrangência, </w:t>
      </w:r>
      <w:r w:rsidR="00C6637E" w:rsidRPr="003F5B1F">
        <w:t xml:space="preserve">O </w:t>
      </w:r>
      <w:r w:rsidRPr="003F5B1F">
        <w:t>Governo Geral</w:t>
      </w:r>
      <w:r w:rsidR="00C6637E" w:rsidRPr="003F5B1F">
        <w:t xml:space="preserve"> abrange o governo central orçamentário, composto pelas unidades que integram o Orçamento Fiscal e da Seguridade Social (exceto o Banco Central do Brasil), e o governo central </w:t>
      </w:r>
      <w:proofErr w:type="spellStart"/>
      <w:r w:rsidR="00C6637E" w:rsidRPr="003F5B1F">
        <w:t>extraorçamentário</w:t>
      </w:r>
      <w:proofErr w:type="spellEnd"/>
      <w:r w:rsidR="00C6637E" w:rsidRPr="003F5B1F">
        <w:t xml:space="preserve">, representado pelos dados do Fundo de Garantia do Tempo de Serviço – FGTS e </w:t>
      </w:r>
      <w:r w:rsidR="00AE3FA0" w:rsidRPr="003F5B1F">
        <w:t>do</w:t>
      </w:r>
      <w:r w:rsidR="00C6637E" w:rsidRPr="003F5B1F">
        <w:t xml:space="preserve"> fundo remanescente do Programa de Integração Social e Programa de Formação do Patrimônio do Servidor Público – PIS/PASEP.  Além disso, compreende os dados dos governos subnacionais, ou seja, </w:t>
      </w:r>
      <w:r w:rsidR="00DC7193" w:rsidRPr="003F5B1F">
        <w:t xml:space="preserve">da gestão </w:t>
      </w:r>
      <w:r w:rsidR="00C6637E" w:rsidRPr="003F5B1F">
        <w:t xml:space="preserve">dos estados e municípios brasileiros. A consolidação dessas unidades no âmbito do </w:t>
      </w:r>
      <w:r w:rsidR="003A4E19" w:rsidRPr="003F5B1F">
        <w:t>G</w:t>
      </w:r>
      <w:r w:rsidR="00C6637E" w:rsidRPr="003F5B1F">
        <w:t xml:space="preserve">overno </w:t>
      </w:r>
      <w:r w:rsidR="003A4E19" w:rsidRPr="003F5B1F">
        <w:t>G</w:t>
      </w:r>
      <w:r w:rsidR="00C6637E" w:rsidRPr="003F5B1F">
        <w:t>eral exige a eliminação de todas as transações cruzadas, especialmente às relativas a transferências e juros.</w:t>
      </w:r>
    </w:p>
    <w:p w14:paraId="7447D641" w14:textId="0667C419" w:rsidR="00B72F50" w:rsidRDefault="00B72F50" w:rsidP="000B7B0D">
      <w:r w:rsidRPr="003F5B1F">
        <w:t xml:space="preserve">Um </w:t>
      </w:r>
      <w:r w:rsidR="00F23D7E" w:rsidRPr="003F5B1F">
        <w:t>outr</w:t>
      </w:r>
      <w:r w:rsidR="00FE17AB" w:rsidRPr="003F5B1F">
        <w:t>o</w:t>
      </w:r>
      <w:r w:rsidR="00F23D7E" w:rsidRPr="003F5B1F">
        <w:t xml:space="preserve"> </w:t>
      </w:r>
      <w:r w:rsidRPr="003F5B1F">
        <w:t xml:space="preserve">importante </w:t>
      </w:r>
      <w:r w:rsidR="00FE17AB" w:rsidRPr="003F5B1F">
        <w:t>atributo</w:t>
      </w:r>
      <w:r w:rsidRPr="003F5B1F">
        <w:t xml:space="preserve"> das Estatísticas Fiscais Trimestrais, no que tange às despesas, para a transparência das informações dos entes, é </w:t>
      </w:r>
      <w:r w:rsidR="009E4E3A" w:rsidRPr="003F5B1F">
        <w:t xml:space="preserve">a adoção da apuração dos valores </w:t>
      </w:r>
      <w:r w:rsidR="000F6468" w:rsidRPr="003F5B1F">
        <w:t>d</w:t>
      </w:r>
      <w:r w:rsidR="006820EE" w:rsidRPr="003F5B1F">
        <w:t>as despesas públicas por uma proxy do critério de competência, o que aproxima o boletim do regime de competência das contas públicas</w:t>
      </w:r>
      <w:r w:rsidR="007361A0">
        <w:t>,</w:t>
      </w:r>
      <w:r w:rsidR="006820EE" w:rsidRPr="003F5B1F">
        <w:t xml:space="preserve"> convencionado pela contabilidade para uma avaliação patrimonial das contas governamentais</w:t>
      </w:r>
      <w:r w:rsidR="00552683" w:rsidRPr="003F5B1F">
        <w:t>. Isso faz com</w:t>
      </w:r>
      <w:r w:rsidR="009E4E3A" w:rsidRPr="003F5B1F">
        <w:t xml:space="preserve"> </w:t>
      </w:r>
      <w:r w:rsidRPr="003F5B1F">
        <w:t>que eventuais atrasos nos pagamentos de funcionários</w:t>
      </w:r>
      <w:r w:rsidR="00552683" w:rsidRPr="003F5B1F">
        <w:t>, por exemplo,</w:t>
      </w:r>
      <w:r w:rsidRPr="003F5B1F">
        <w:t xml:space="preserve"> não afet</w:t>
      </w:r>
      <w:r w:rsidR="00594933" w:rsidRPr="003F5B1F">
        <w:t>e</w:t>
      </w:r>
      <w:r w:rsidRPr="003F5B1F">
        <w:t>m o cálculo da despesa. Ou seja, se o ente registrar a obrigação de pagar o salário, mas não incorrer no pagamento propriamente dito por algum motivo, a despesa com remuneração de empregados espelhará os encargos do empregador, independentemente do efetivo desembolso financeiro.</w:t>
      </w:r>
      <w:r w:rsidR="00AD4151" w:rsidRPr="003F5B1F">
        <w:t xml:space="preserve"> Por outro lado, as receitas continua</w:t>
      </w:r>
      <w:r w:rsidR="00855D53" w:rsidRPr="003F5B1F">
        <w:t>m</w:t>
      </w:r>
      <w:r w:rsidR="00AD4151" w:rsidRPr="003F5B1F">
        <w:t xml:space="preserve"> a ser apuradas pelo regime de caixa, diferentemente da indicação dada pelo MEFP 2014</w:t>
      </w:r>
      <w:r w:rsidR="00855D53" w:rsidRPr="003F5B1F">
        <w:t>.</w:t>
      </w:r>
    </w:p>
    <w:p w14:paraId="365E6AF8" w14:textId="77777777" w:rsidR="00255749" w:rsidRPr="003F5B1F" w:rsidRDefault="00255749" w:rsidP="000B7B0D"/>
    <w:p w14:paraId="1BE76DDE" w14:textId="607F1288" w:rsidR="007E24BF" w:rsidRDefault="00FD17D4" w:rsidP="00567554">
      <w:pPr>
        <w:pStyle w:val="Ttulo3"/>
      </w:pPr>
      <w:bookmarkStart w:id="59" w:name="_Toc16087703"/>
      <w:r>
        <w:t>3</w:t>
      </w:r>
      <w:r w:rsidR="007E24BF" w:rsidRPr="009F1B9B">
        <w:t>.2.</w:t>
      </w:r>
      <w:r w:rsidR="009F1B9B">
        <w:t>3</w:t>
      </w:r>
      <w:r w:rsidR="00255749">
        <w:t>.</w:t>
      </w:r>
      <w:r w:rsidR="007E24BF" w:rsidRPr="009F1B9B">
        <w:t xml:space="preserve"> </w:t>
      </w:r>
      <w:r w:rsidR="003F608D" w:rsidRPr="009F1B9B">
        <w:t>Operacionalização e estrutura</w:t>
      </w:r>
      <w:bookmarkEnd w:id="59"/>
    </w:p>
    <w:p w14:paraId="05F6E2C5" w14:textId="77777777" w:rsidR="00255749" w:rsidRPr="00255749" w:rsidRDefault="00255749" w:rsidP="00255749"/>
    <w:p w14:paraId="674F7C8F" w14:textId="2456B26B" w:rsidR="00C6637E" w:rsidRPr="003F5B1F" w:rsidRDefault="00C6637E" w:rsidP="000B7B0D">
      <w:r w:rsidRPr="003F5B1F">
        <w:t xml:space="preserve">Os dados do governo central são extraídos do Sistema de Administração Financeira do Governo Federal – SIAFI, que permite a apuração das informações no maior nível de detalhamento possível, evidenciando as contas contábeis de acordo com a natureza da despesa, modalidade de aplicação, classificação funcional, dentre outros. Em relação aos números dos entes subnacionais, coleta-se do Sistema de Informações Contábeis e Fiscais do Setor Público Brasileiro – </w:t>
      </w:r>
      <w:proofErr w:type="spellStart"/>
      <w:r w:rsidRPr="003F5B1F">
        <w:t>S</w:t>
      </w:r>
      <w:r w:rsidR="00D20B26" w:rsidRPr="003F5B1F">
        <w:t>iconfi</w:t>
      </w:r>
      <w:proofErr w:type="spellEnd"/>
      <w:r w:rsidRPr="003F5B1F">
        <w:t xml:space="preserve">, por meio dos Relatórios Resumidos de Execução Orçamentária – RREO, de estados e municípios que apresentaram suas contas. Em relação aos entes que não publicaram o RREO, adotam-se técnicas de imputação dos valores, complementadas com informações </w:t>
      </w:r>
      <w:r w:rsidRPr="003F5B1F">
        <w:lastRenderedPageBreak/>
        <w:t>provenientes de outras fontes (portais de transparência, por exemplo), de modo a ampliar a cobertura da estatística.</w:t>
      </w:r>
    </w:p>
    <w:p w14:paraId="6F6A556F" w14:textId="0E233D67" w:rsidR="00C6637E" w:rsidRPr="003F5B1F" w:rsidRDefault="00C6637E" w:rsidP="000B7B0D">
      <w:r w:rsidRPr="003F5B1F">
        <w:t xml:space="preserve">A cooperação com o Instituto de Pesquisa Econômica Aplicada – IPEA, permitiu estimar os valores de despesas e receitas da totalidade dos municípios, assim como transformar os dados anuais em trimestrais e </w:t>
      </w:r>
      <w:r w:rsidR="009501B4" w:rsidRPr="003F5B1F">
        <w:t>calcular</w:t>
      </w:r>
      <w:r w:rsidRPr="003F5B1F">
        <w:t xml:space="preserve"> os trimestres antes dos dados anuais serem publicados. Além da contribuição do IPEA, o Banco Central do Brasil fornece os dados da conta de financiamento, e o Instituto Brasileiro de Geografia e Estatística – IBGE, calcula os valores de consumo do capital fixo do governo geral e as contribuições sociais para o governo central.</w:t>
      </w:r>
    </w:p>
    <w:p w14:paraId="5D5C7B35" w14:textId="6B66609A" w:rsidR="00C6637E" w:rsidRDefault="00C6637E" w:rsidP="000B7B0D">
      <w:r w:rsidRPr="003F5B1F">
        <w:t>No que toca à disposição das informações, o relatório, por meio da estrutura do Demonstrativo de Operações, resume as transações do governo apresentando detalhes das receitas, despesas e investimento líquido em ativos não financeiros</w:t>
      </w:r>
      <w:r w:rsidR="009B2AA9" w:rsidRPr="003F5B1F">
        <w:t>, conforme figura 3 abaixo:</w:t>
      </w:r>
    </w:p>
    <w:p w14:paraId="5194E742" w14:textId="6223AF5D" w:rsidR="00255749" w:rsidRDefault="00255749" w:rsidP="000B7B0D"/>
    <w:p w14:paraId="65D04D94" w14:textId="6F372786" w:rsidR="00ED6413" w:rsidRPr="00D96856" w:rsidRDefault="00ED6413" w:rsidP="00ED6413">
      <w:pPr>
        <w:jc w:val="center"/>
        <w:rPr>
          <w:b/>
        </w:rPr>
      </w:pPr>
      <w:r w:rsidRPr="00D96856">
        <w:rPr>
          <w:b/>
        </w:rPr>
        <w:t>Figura 3</w:t>
      </w:r>
      <w:r w:rsidR="005B0A2E" w:rsidRPr="00D96856">
        <w:rPr>
          <w:b/>
        </w:rPr>
        <w:t xml:space="preserve"> –</w:t>
      </w:r>
      <w:r w:rsidRPr="00D96856">
        <w:rPr>
          <w:b/>
        </w:rPr>
        <w:t xml:space="preserve"> </w:t>
      </w:r>
      <w:r w:rsidR="005B0A2E" w:rsidRPr="00D96856">
        <w:rPr>
          <w:b/>
        </w:rPr>
        <w:t>L</w:t>
      </w:r>
      <w:r w:rsidRPr="00D96856">
        <w:rPr>
          <w:b/>
        </w:rPr>
        <w:t>inhas da estrutura do demonstrativo de operações do governo geral</w:t>
      </w:r>
    </w:p>
    <w:p w14:paraId="3C5BC2EE" w14:textId="5088B530" w:rsidR="009B2AA9" w:rsidRPr="003F5B1F" w:rsidRDefault="009B2AA9" w:rsidP="00ED6413">
      <w:pPr>
        <w:jc w:val="center"/>
      </w:pPr>
      <w:r w:rsidRPr="003F5B1F">
        <w:rPr>
          <w:noProof/>
        </w:rPr>
        <w:drawing>
          <wp:inline distT="0" distB="0" distL="0" distR="0" wp14:anchorId="23A962E2" wp14:editId="62F6D3DB">
            <wp:extent cx="2247900" cy="2581275"/>
            <wp:effectExtent l="19050" t="19050" r="19050" b="285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47900" cy="2581275"/>
                    </a:xfrm>
                    <a:prstGeom prst="rect">
                      <a:avLst/>
                    </a:prstGeom>
                    <a:ln w="12700">
                      <a:solidFill>
                        <a:schemeClr val="bg2">
                          <a:lumMod val="90000"/>
                        </a:schemeClr>
                      </a:solidFill>
                    </a:ln>
                  </pic:spPr>
                </pic:pic>
              </a:graphicData>
            </a:graphic>
          </wp:inline>
        </w:drawing>
      </w:r>
    </w:p>
    <w:p w14:paraId="279BD1D3" w14:textId="0238622C" w:rsidR="007D6318" w:rsidRDefault="00ED6413" w:rsidP="00ED6413">
      <w:pPr>
        <w:pStyle w:val="Subttulo"/>
      </w:pPr>
      <w:r>
        <w:tab/>
      </w:r>
      <w:r>
        <w:tab/>
      </w:r>
      <w:r>
        <w:tab/>
      </w:r>
      <w:r>
        <w:tab/>
        <w:t xml:space="preserve">       Fonte: Secretaria do Tesouro Nacional</w:t>
      </w:r>
    </w:p>
    <w:p w14:paraId="538BD378" w14:textId="77777777" w:rsidR="00ED6413" w:rsidRPr="00ED6413" w:rsidRDefault="00ED6413" w:rsidP="00ED6413"/>
    <w:p w14:paraId="45158291" w14:textId="7C0F25CA" w:rsidR="00AC7F73" w:rsidRPr="003F5B1F" w:rsidRDefault="00B665F7" w:rsidP="000B7B0D">
      <w:r w:rsidRPr="003F5B1F">
        <w:t>O</w:t>
      </w:r>
      <w:r w:rsidR="00AC7F73" w:rsidRPr="003F5B1F">
        <w:t xml:space="preserve"> resultado operacional líquido (ROL)</w:t>
      </w:r>
      <w:r w:rsidRPr="003F5B1F">
        <w:t>, por ocasião,</w:t>
      </w:r>
      <w:r w:rsidR="00AC7F73" w:rsidRPr="003F5B1F">
        <w:t xml:space="preserve"> reflete um indicador da sustentabilidade corrente das operações do governo, justamente por captar todos os custos correntes das transações governamentais, inclusive despesas que não geram fluxo de caixa, ou seja, despesas que não exigem dispêndio financeiro, mas que revelam uma depreciação ou desvalorização do patrimônio do ente. Um exemplo desse tipo de despesa, e que oferta ainda mais relevância para </w:t>
      </w:r>
      <w:r w:rsidR="00D909A5" w:rsidRPr="003F5B1F">
        <w:t>ess</w:t>
      </w:r>
      <w:r w:rsidR="00AC7F73" w:rsidRPr="003F5B1F">
        <w:t xml:space="preserve">a publicação da STN, é o consumo de capital fixo, que afere a obsolescência natural ou o desgaste dos ativos imobilizados do estoque de capital público. Já o </w:t>
      </w:r>
      <w:r w:rsidR="00AC7F73" w:rsidRPr="003F5B1F">
        <w:lastRenderedPageBreak/>
        <w:t>resultado operacional bruto (ROB) difere do ROL por não inclui</w:t>
      </w:r>
      <w:r w:rsidR="00891576" w:rsidRPr="003F5B1F">
        <w:t>r</w:t>
      </w:r>
      <w:r w:rsidR="00AC7F73" w:rsidRPr="003F5B1F">
        <w:t xml:space="preserve"> o consumo de capital fixo como despesa, retirando o efeito dessa rubrica do cálculo.</w:t>
      </w:r>
    </w:p>
    <w:p w14:paraId="1AE53303" w14:textId="31180B32" w:rsidR="00314385" w:rsidRPr="003F5B1F" w:rsidRDefault="00314385" w:rsidP="000B7B0D">
      <w:r w:rsidRPr="003F5B1F">
        <w:t>Adiante, ao agregar as transações com ativos não financeiros, no caso</w:t>
      </w:r>
      <w:r w:rsidR="0082541D">
        <w:t>,</w:t>
      </w:r>
      <w:r w:rsidRPr="003F5B1F">
        <w:t xml:space="preserve"> o investimento líquido em ativos, com as transações que afetam o patrimônio público, as receitas e despesas, é possível saber se o governo terá capacidade de colocar recursos à disposição de outros setores da economia ou se, de forma contrária, precisará utilizar recursos financeiros gerados por outros setores. Esse resultado recebe o nome de capacidade líquida de financiamento, caso o resultado seja positivo, ou necessidade líquida de financiamento, se for negativo, e aponta para o efeito financeiro da atividade governamental sobre o resto da economia.</w:t>
      </w:r>
    </w:p>
    <w:p w14:paraId="3FEF9212" w14:textId="63CB5DEC" w:rsidR="00C6637E" w:rsidRDefault="00C14546" w:rsidP="000B7B0D">
      <w:r w:rsidRPr="003F5B1F">
        <w:t>De forma sintética, a</w:t>
      </w:r>
      <w:r w:rsidR="00C6637E" w:rsidRPr="003F5B1F">
        <w:t xml:space="preserve"> tabela do demonstrativo de operações do governo geral do Brasil mostra as receitas e despesas que afetam o patrimônio líquido, repercutindo no resultado operacional bruto e no resultado operacional líquido. Acrescenta, ainda, as transações com ativos não financeiros, para mostrar a capacidade ou necessidade líquida de financiamento. Os números são mostrados, inicialmente, desagregados, trazendo o detalhamento dos dados do governo central (orçamentário e </w:t>
      </w:r>
      <w:proofErr w:type="spellStart"/>
      <w:r w:rsidR="00C6637E" w:rsidRPr="003F5B1F">
        <w:t>extraorçamentário</w:t>
      </w:r>
      <w:proofErr w:type="spellEnd"/>
      <w:r w:rsidR="00C6637E" w:rsidRPr="003F5B1F">
        <w:t>), dos governos estaduais e dos governos municipais, para, ao final, serem consolidados como governo geral</w:t>
      </w:r>
      <w:r w:rsidR="00B84D09" w:rsidRPr="003F5B1F">
        <w:t>, como se pode observar na figura 4:</w:t>
      </w:r>
    </w:p>
    <w:p w14:paraId="0BDF0C31" w14:textId="06E36508" w:rsidR="000073D0" w:rsidRDefault="000073D0" w:rsidP="000B7B0D"/>
    <w:p w14:paraId="2658A5E7" w14:textId="5A3ABE13" w:rsidR="000073D0" w:rsidRPr="00D96856" w:rsidRDefault="000073D0" w:rsidP="000073D0">
      <w:pPr>
        <w:jc w:val="center"/>
        <w:rPr>
          <w:b/>
        </w:rPr>
      </w:pPr>
      <w:r w:rsidRPr="00D96856">
        <w:rPr>
          <w:b/>
        </w:rPr>
        <w:t>Figura 4</w:t>
      </w:r>
      <w:r w:rsidR="00D96856">
        <w:rPr>
          <w:b/>
        </w:rPr>
        <w:t xml:space="preserve"> –</w:t>
      </w:r>
      <w:r w:rsidRPr="00D96856">
        <w:rPr>
          <w:b/>
        </w:rPr>
        <w:t xml:space="preserve"> </w:t>
      </w:r>
      <w:r w:rsidR="00D96856">
        <w:rPr>
          <w:b/>
        </w:rPr>
        <w:t>C</w:t>
      </w:r>
      <w:r w:rsidRPr="00D96856">
        <w:rPr>
          <w:b/>
        </w:rPr>
        <w:t>olunas da estrutura do demonstrativo de operações do governo geral</w:t>
      </w:r>
    </w:p>
    <w:p w14:paraId="20C076D9" w14:textId="78AC0A12" w:rsidR="00B84D09" w:rsidRPr="003F5B1F" w:rsidRDefault="00D4397C" w:rsidP="000073D0">
      <w:pPr>
        <w:jc w:val="center"/>
      </w:pPr>
      <w:r w:rsidRPr="003F5B1F">
        <w:rPr>
          <w:noProof/>
        </w:rPr>
        <w:drawing>
          <wp:inline distT="0" distB="0" distL="0" distR="0" wp14:anchorId="17F9B1B4" wp14:editId="08825B4A">
            <wp:extent cx="5267325" cy="641350"/>
            <wp:effectExtent l="19050" t="19050" r="28575" b="2540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67325" cy="641350"/>
                    </a:xfrm>
                    <a:prstGeom prst="rect">
                      <a:avLst/>
                    </a:prstGeom>
                    <a:ln w="12700">
                      <a:solidFill>
                        <a:schemeClr val="bg2">
                          <a:lumMod val="90000"/>
                        </a:schemeClr>
                      </a:solidFill>
                    </a:ln>
                  </pic:spPr>
                </pic:pic>
              </a:graphicData>
            </a:graphic>
          </wp:inline>
        </w:drawing>
      </w:r>
    </w:p>
    <w:p w14:paraId="69E2B5BD" w14:textId="17173FC7" w:rsidR="000073D0" w:rsidRDefault="000073D0" w:rsidP="000073D0">
      <w:pPr>
        <w:pStyle w:val="Subttulo"/>
      </w:pPr>
      <w:r>
        <w:tab/>
      </w:r>
      <w:bookmarkStart w:id="60" w:name="_Hlk15894033"/>
      <w:r>
        <w:t>Fonte: Secretaria do Tesouro Nacional</w:t>
      </w:r>
      <w:r w:rsidRPr="003F5B1F">
        <w:t xml:space="preserve"> </w:t>
      </w:r>
      <w:bookmarkEnd w:id="60"/>
    </w:p>
    <w:p w14:paraId="274EAA5C" w14:textId="77777777" w:rsidR="000073D0" w:rsidRDefault="000073D0" w:rsidP="000B7B0D"/>
    <w:p w14:paraId="3DEB7EBB" w14:textId="58D396BE" w:rsidR="00C6637E" w:rsidRDefault="002D4800" w:rsidP="000B7B0D">
      <w:r w:rsidRPr="003F5B1F">
        <w:t xml:space="preserve">O boletim, entretanto, não se resume às informações </w:t>
      </w:r>
      <w:r w:rsidR="00AA6D59" w:rsidRPr="003F5B1F">
        <w:t>agregadas.</w:t>
      </w:r>
      <w:r w:rsidR="00C6637E" w:rsidRPr="003F5B1F">
        <w:t xml:space="preserve"> </w:t>
      </w:r>
      <w:r w:rsidR="00AA6D59" w:rsidRPr="003F5B1F">
        <w:t>A</w:t>
      </w:r>
      <w:r w:rsidR="00C6637E" w:rsidRPr="003F5B1F">
        <w:t xml:space="preserve">s despesas do governo geral </w:t>
      </w:r>
      <w:r w:rsidR="000B4436" w:rsidRPr="003F5B1F">
        <w:t xml:space="preserve">possuem </w:t>
      </w:r>
      <w:r w:rsidR="00C6637E" w:rsidRPr="003F5B1F">
        <w:t>detalham</w:t>
      </w:r>
      <w:r w:rsidR="000B4436" w:rsidRPr="003F5B1F">
        <w:t xml:space="preserve">ento </w:t>
      </w:r>
      <w:r w:rsidR="00C37649" w:rsidRPr="003F5B1F">
        <w:t xml:space="preserve">e seus componentes são </w:t>
      </w:r>
      <w:proofErr w:type="spellStart"/>
      <w:r w:rsidR="00C37649" w:rsidRPr="003F5B1F">
        <w:t>desagrupados</w:t>
      </w:r>
      <w:proofErr w:type="spellEnd"/>
      <w:r w:rsidR="00822E79" w:rsidRPr="003F5B1F">
        <w:t>, como pode ser visto na figura 5,</w:t>
      </w:r>
      <w:r w:rsidR="00C37649" w:rsidRPr="003F5B1F">
        <w:t xml:space="preserve"> em</w:t>
      </w:r>
      <w:r w:rsidR="002E70FA" w:rsidRPr="003F5B1F">
        <w:t xml:space="preserve"> </w:t>
      </w:r>
      <w:r w:rsidR="00153989" w:rsidRPr="003F5B1F">
        <w:t>gastos com</w:t>
      </w:r>
      <w:r w:rsidR="002E70FA" w:rsidRPr="003F5B1F">
        <w:t xml:space="preserve"> remuneração de empregados</w:t>
      </w:r>
      <w:r w:rsidR="00573112" w:rsidRPr="003F5B1F">
        <w:t>,</w:t>
      </w:r>
      <w:r w:rsidR="00C37649" w:rsidRPr="003F5B1F">
        <w:t xml:space="preserve"> </w:t>
      </w:r>
      <w:r w:rsidR="00C6637E" w:rsidRPr="003F5B1F">
        <w:t xml:space="preserve">com o uso de bens e serviços – cujo conceito se aproxima do consumo intermediário do Sistema de Contas Nacionais –, com juros, </w:t>
      </w:r>
      <w:r w:rsidR="00B27D06">
        <w:t xml:space="preserve">com </w:t>
      </w:r>
      <w:r w:rsidR="00C6637E" w:rsidRPr="003F5B1F">
        <w:t xml:space="preserve">consumo de capital fixo, </w:t>
      </w:r>
      <w:r w:rsidR="00B27D06">
        <w:t xml:space="preserve">com </w:t>
      </w:r>
      <w:r w:rsidR="00C6637E" w:rsidRPr="003F5B1F">
        <w:t xml:space="preserve">subsídios e </w:t>
      </w:r>
      <w:r w:rsidR="00B27D06">
        <w:t xml:space="preserve">com </w:t>
      </w:r>
      <w:r w:rsidR="00C6637E" w:rsidRPr="003F5B1F">
        <w:t xml:space="preserve">transferências ou doações realizadas. Destaca-se, outrossim, a discriminação da despesa com benefícios sociais, cuja rubrica inclui os benefícios de seguridade social do Regime Geral de Previdência Social (RGPS) e dos Regimes Próprios de Previdência Social (RPPS), assim como os benefícios de assistência social e o fluxo </w:t>
      </w:r>
      <w:proofErr w:type="spellStart"/>
      <w:r w:rsidR="00C6637E" w:rsidRPr="003F5B1F">
        <w:t>extraorçamentário</w:t>
      </w:r>
      <w:proofErr w:type="spellEnd"/>
      <w:r w:rsidR="00C6637E" w:rsidRPr="003F5B1F">
        <w:t xml:space="preserve"> dos saques das contas do FGTS e do PIS/PASEP.</w:t>
      </w:r>
    </w:p>
    <w:p w14:paraId="4B0CE5DB" w14:textId="77777777" w:rsidR="000073D0" w:rsidRDefault="000073D0" w:rsidP="000073D0"/>
    <w:p w14:paraId="6805DA50" w14:textId="50AD8D89" w:rsidR="000073D0" w:rsidRPr="00D96856" w:rsidRDefault="000073D0" w:rsidP="000073D0">
      <w:pPr>
        <w:jc w:val="center"/>
        <w:rPr>
          <w:b/>
        </w:rPr>
      </w:pPr>
      <w:r w:rsidRPr="00D96856">
        <w:rPr>
          <w:b/>
        </w:rPr>
        <w:lastRenderedPageBreak/>
        <w:t>Figura 5</w:t>
      </w:r>
      <w:r w:rsidR="00D96856">
        <w:rPr>
          <w:b/>
        </w:rPr>
        <w:t xml:space="preserve"> –</w:t>
      </w:r>
      <w:r w:rsidRPr="00D96856">
        <w:rPr>
          <w:b/>
        </w:rPr>
        <w:t xml:space="preserve"> </w:t>
      </w:r>
      <w:r w:rsidR="00D96856">
        <w:rPr>
          <w:b/>
        </w:rPr>
        <w:t>L</w:t>
      </w:r>
      <w:r w:rsidRPr="00D96856">
        <w:rPr>
          <w:b/>
        </w:rPr>
        <w:t>inhas do demonstrativo da despesa do governo geral</w:t>
      </w:r>
    </w:p>
    <w:p w14:paraId="5C26B29D" w14:textId="319D7C6B" w:rsidR="008F7C4E" w:rsidRPr="003F5B1F" w:rsidRDefault="008F7C4E" w:rsidP="000073D0">
      <w:pPr>
        <w:jc w:val="center"/>
      </w:pPr>
      <w:r w:rsidRPr="003F5B1F">
        <w:rPr>
          <w:noProof/>
        </w:rPr>
        <w:drawing>
          <wp:inline distT="0" distB="0" distL="0" distR="0" wp14:anchorId="01BAEEB7" wp14:editId="502056D6">
            <wp:extent cx="1704975" cy="2476500"/>
            <wp:effectExtent l="19050" t="19050" r="28575" b="190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4975" cy="2476500"/>
                    </a:xfrm>
                    <a:prstGeom prst="rect">
                      <a:avLst/>
                    </a:prstGeom>
                    <a:ln w="12700">
                      <a:solidFill>
                        <a:schemeClr val="bg2">
                          <a:lumMod val="90000"/>
                        </a:schemeClr>
                      </a:solidFill>
                    </a:ln>
                  </pic:spPr>
                </pic:pic>
              </a:graphicData>
            </a:graphic>
          </wp:inline>
        </w:drawing>
      </w:r>
    </w:p>
    <w:p w14:paraId="4B70547B" w14:textId="6AE2AC1B" w:rsidR="000073D0" w:rsidRDefault="000073D0" w:rsidP="000073D0">
      <w:pPr>
        <w:pStyle w:val="Subttulo"/>
      </w:pPr>
      <w:r>
        <w:tab/>
      </w:r>
      <w:r>
        <w:tab/>
      </w:r>
      <w:r>
        <w:tab/>
      </w:r>
      <w:r>
        <w:tab/>
      </w:r>
      <w:r>
        <w:tab/>
        <w:t>Fonte: Secretaria do Tesouro Nacional</w:t>
      </w:r>
      <w:r w:rsidRPr="003F5B1F">
        <w:t xml:space="preserve"> </w:t>
      </w:r>
    </w:p>
    <w:p w14:paraId="709A7462" w14:textId="77777777" w:rsidR="000073D0" w:rsidRDefault="000073D0" w:rsidP="000B7B0D"/>
    <w:p w14:paraId="0E699EF5" w14:textId="2F65D49E" w:rsidR="00C6637E" w:rsidRPr="003F5B1F" w:rsidRDefault="00C6637E" w:rsidP="000B7B0D">
      <w:r w:rsidRPr="003F5B1F">
        <w:t xml:space="preserve">Em vista disso, percebe-se que o relatório das Estatísticas Fiscais Trimestrais separa as despesas com pessoal ativo, especificado como remuneração de empregados, das despesas previdenciárias, especialmente os valores referentes às aposentadorias e às pensões, cuja monta se encontra sob a denominação de benefícios sociais. </w:t>
      </w:r>
    </w:p>
    <w:p w14:paraId="7FDD3F48" w14:textId="3B6F18BB" w:rsidR="00C6637E" w:rsidRDefault="00971C2F" w:rsidP="000B7B0D">
      <w:r w:rsidRPr="003F5B1F">
        <w:t xml:space="preserve">Além de estar especificado </w:t>
      </w:r>
      <w:r w:rsidR="00227F3F" w:rsidRPr="003F5B1F">
        <w:t xml:space="preserve">nos demonstrativos </w:t>
      </w:r>
      <w:r w:rsidR="00AC1E91" w:rsidRPr="003F5B1F">
        <w:t>de operações e da despesa do governo geral, o</w:t>
      </w:r>
      <w:r w:rsidR="00C6637E" w:rsidRPr="003F5B1F">
        <w:t xml:space="preserve"> consumo de capital fixo também aparece no </w:t>
      </w:r>
      <w:r w:rsidR="00A951EE" w:rsidRPr="003F5B1F">
        <w:t xml:space="preserve">demonstrativo </w:t>
      </w:r>
      <w:r w:rsidR="00B013FE" w:rsidRPr="003F5B1F">
        <w:t>de transações com ativos não financeiros</w:t>
      </w:r>
      <w:r w:rsidR="006E5DAC" w:rsidRPr="003F5B1F">
        <w:t>, para o</w:t>
      </w:r>
      <w:r w:rsidR="00B013FE" w:rsidRPr="003F5B1F">
        <w:t xml:space="preserve"> </w:t>
      </w:r>
      <w:r w:rsidR="00C6637E" w:rsidRPr="003F5B1F">
        <w:t>cálculo do investimento líquido do governo geral</w:t>
      </w:r>
      <w:r w:rsidR="00DF199D" w:rsidRPr="003F5B1F">
        <w:t>, ilustrado pela figura 6</w:t>
      </w:r>
      <w:r w:rsidR="006E5DAC" w:rsidRPr="003F5B1F">
        <w:t>.</w:t>
      </w:r>
      <w:r w:rsidR="00C6637E" w:rsidRPr="003F5B1F">
        <w:t xml:space="preserve"> </w:t>
      </w:r>
      <w:r w:rsidR="000D126D" w:rsidRPr="003F5B1F">
        <w:t>Esse cálculo é realizado por meio do</w:t>
      </w:r>
      <w:r w:rsidR="00C6637E" w:rsidRPr="003F5B1F">
        <w:t xml:space="preserve"> </w:t>
      </w:r>
      <w:r w:rsidR="005F3CA2" w:rsidRPr="003F5B1F">
        <w:t>descont</w:t>
      </w:r>
      <w:r w:rsidR="000D126D" w:rsidRPr="003F5B1F">
        <w:t>o</w:t>
      </w:r>
      <w:r w:rsidR="005F3CA2" w:rsidRPr="003F5B1F">
        <w:t xml:space="preserve"> </w:t>
      </w:r>
      <w:r w:rsidR="000D126D" w:rsidRPr="003F5B1F">
        <w:t>d</w:t>
      </w:r>
      <w:r w:rsidR="005F3CA2" w:rsidRPr="003F5B1F">
        <w:t>o</w:t>
      </w:r>
      <w:r w:rsidR="00C6637E" w:rsidRPr="003F5B1F">
        <w:t xml:space="preserve"> montante </w:t>
      </w:r>
      <w:r w:rsidR="0017052D" w:rsidRPr="003F5B1F">
        <w:t>do consumo de capital fixo</w:t>
      </w:r>
      <w:r w:rsidR="00C6637E" w:rsidRPr="003F5B1F">
        <w:t xml:space="preserve">, juntamente com a quantia auferida pela alienação de ativos, do total utilizado na aquisição de ativos não financeiros. </w:t>
      </w:r>
      <w:r w:rsidR="00080838" w:rsidRPr="003F5B1F">
        <w:t xml:space="preserve">De </w:t>
      </w:r>
      <w:r w:rsidR="000C6D03" w:rsidRPr="003F5B1F">
        <w:t>outro modo</w:t>
      </w:r>
      <w:r w:rsidR="00C6637E" w:rsidRPr="003F5B1F">
        <w:t>, o investimento se apresenta na forma líquida, ao descontar das aquisições o valor das alienações e da depreciação do estoque. Adicionalmente, a informação sobre a aquisição bruta de ativos não financeiros, que desconsidera o consumo de capital fixo do cálculo, resta disponível e se assemelha à Formação Bruta de Capital Fixo do sistema de contas nacionais.</w:t>
      </w:r>
    </w:p>
    <w:p w14:paraId="6B50FCA6" w14:textId="77777777" w:rsidR="00D96856" w:rsidRDefault="00D96856" w:rsidP="00D96856">
      <w:pPr>
        <w:jc w:val="center"/>
        <w:rPr>
          <w:b/>
        </w:rPr>
      </w:pPr>
    </w:p>
    <w:p w14:paraId="244C5103" w14:textId="77777777" w:rsidR="00D96856" w:rsidRDefault="00D96856" w:rsidP="00D96856">
      <w:pPr>
        <w:jc w:val="center"/>
        <w:rPr>
          <w:b/>
        </w:rPr>
      </w:pPr>
    </w:p>
    <w:p w14:paraId="2C67EF44" w14:textId="0642AA99" w:rsidR="00D96856" w:rsidRDefault="00D96856" w:rsidP="00D96856">
      <w:pPr>
        <w:jc w:val="center"/>
        <w:rPr>
          <w:b/>
        </w:rPr>
      </w:pPr>
    </w:p>
    <w:p w14:paraId="4697660E" w14:textId="393302F3" w:rsidR="00073560" w:rsidRDefault="00073560" w:rsidP="00D96856">
      <w:pPr>
        <w:jc w:val="center"/>
        <w:rPr>
          <w:b/>
        </w:rPr>
      </w:pPr>
    </w:p>
    <w:p w14:paraId="7504F246" w14:textId="59CF6B01" w:rsidR="00073560" w:rsidRDefault="00073560" w:rsidP="00D96856">
      <w:pPr>
        <w:jc w:val="center"/>
        <w:rPr>
          <w:b/>
        </w:rPr>
      </w:pPr>
    </w:p>
    <w:p w14:paraId="0548DDB5" w14:textId="576E2226" w:rsidR="00073560" w:rsidRDefault="00073560" w:rsidP="00D96856">
      <w:pPr>
        <w:jc w:val="center"/>
        <w:rPr>
          <w:b/>
        </w:rPr>
      </w:pPr>
    </w:p>
    <w:p w14:paraId="3720EAE4" w14:textId="77777777" w:rsidR="00073560" w:rsidRDefault="00073560" w:rsidP="00D96856">
      <w:pPr>
        <w:jc w:val="center"/>
        <w:rPr>
          <w:b/>
        </w:rPr>
      </w:pPr>
    </w:p>
    <w:p w14:paraId="1F3ACDAF" w14:textId="52DD5C36" w:rsidR="00D96856" w:rsidRPr="00D96856" w:rsidRDefault="00D96856" w:rsidP="00D96856">
      <w:pPr>
        <w:jc w:val="center"/>
        <w:rPr>
          <w:b/>
        </w:rPr>
      </w:pPr>
      <w:r w:rsidRPr="00D96856">
        <w:rPr>
          <w:b/>
        </w:rPr>
        <w:lastRenderedPageBreak/>
        <w:t>Figura 6 – Linhas do demonstrativo de transações com ativos não financeiros</w:t>
      </w:r>
    </w:p>
    <w:p w14:paraId="22BFE04E" w14:textId="0A04076A" w:rsidR="00AB7131" w:rsidRPr="003F5B1F" w:rsidRDefault="00AB7131" w:rsidP="009337B6">
      <w:pPr>
        <w:jc w:val="center"/>
      </w:pPr>
      <w:r w:rsidRPr="003F5B1F">
        <w:rPr>
          <w:noProof/>
        </w:rPr>
        <w:drawing>
          <wp:inline distT="0" distB="0" distL="0" distR="0" wp14:anchorId="1C41B123" wp14:editId="59A0FD6C">
            <wp:extent cx="2114550" cy="3505200"/>
            <wp:effectExtent l="19050" t="19050" r="19050" b="190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4550" cy="3505200"/>
                    </a:xfrm>
                    <a:prstGeom prst="rect">
                      <a:avLst/>
                    </a:prstGeom>
                    <a:ln w="12700">
                      <a:solidFill>
                        <a:schemeClr val="bg2">
                          <a:lumMod val="90000"/>
                        </a:schemeClr>
                      </a:solidFill>
                    </a:ln>
                  </pic:spPr>
                </pic:pic>
              </a:graphicData>
            </a:graphic>
          </wp:inline>
        </w:drawing>
      </w:r>
    </w:p>
    <w:p w14:paraId="324AFB48" w14:textId="2A62BD67" w:rsidR="009337B6" w:rsidRDefault="009337B6" w:rsidP="009337B6">
      <w:pPr>
        <w:pStyle w:val="Subttulo"/>
      </w:pPr>
      <w:r>
        <w:tab/>
      </w:r>
      <w:r>
        <w:tab/>
      </w:r>
      <w:r>
        <w:tab/>
      </w:r>
      <w:r>
        <w:tab/>
        <w:t xml:space="preserve">     </w:t>
      </w:r>
      <w:r w:rsidR="00897FE8">
        <w:t xml:space="preserve">   </w:t>
      </w:r>
      <w:r>
        <w:t>Fonte: Secretaria do Tesouro Nacional</w:t>
      </w:r>
      <w:r w:rsidRPr="003F5B1F">
        <w:t xml:space="preserve"> </w:t>
      </w:r>
    </w:p>
    <w:p w14:paraId="2908EB37" w14:textId="77777777" w:rsidR="00897FE8" w:rsidRPr="00897FE8" w:rsidRDefault="00897FE8" w:rsidP="00897FE8"/>
    <w:p w14:paraId="65D1A603" w14:textId="543E6344" w:rsidR="00C6637E" w:rsidRPr="003F5B1F" w:rsidRDefault="00323CD1" w:rsidP="000B7B0D">
      <w:r w:rsidRPr="003F5B1F">
        <w:t xml:space="preserve">Como se pode inferir </w:t>
      </w:r>
      <w:r w:rsidR="00DB63CA" w:rsidRPr="003F5B1F">
        <w:t xml:space="preserve">do detalhamento </w:t>
      </w:r>
      <w:r w:rsidR="00CD1178" w:rsidRPr="003F5B1F">
        <w:t>do demonstrativo de transações com ativos não financeiros</w:t>
      </w:r>
      <w:r w:rsidR="00C6637E" w:rsidRPr="003F5B1F">
        <w:t>, as transferências a estados e municípios realizadas pela União, bem como transferências a instituições privadas sem fins lucrativos</w:t>
      </w:r>
      <w:r w:rsidR="00892955">
        <w:t>,</w:t>
      </w:r>
      <w:r w:rsidR="00C6637E" w:rsidRPr="003F5B1F">
        <w:t xml:space="preserve"> não são consideradas como investimento. </w:t>
      </w:r>
      <w:r w:rsidR="003B44EB" w:rsidRPr="003F5B1F">
        <w:t>Igualmente</w:t>
      </w:r>
      <w:r w:rsidR="00C6637E" w:rsidRPr="003F5B1F">
        <w:t xml:space="preserve">, alguns gastos com programas sociais, a exemplo do “Minha casa minha vida”, entram no cômputo das transferências de capital às famílias. Também não se considera como investimento nenhuma despesa </w:t>
      </w:r>
      <w:proofErr w:type="spellStart"/>
      <w:r w:rsidR="00C6637E" w:rsidRPr="003F5B1F">
        <w:t>intraorçamentária</w:t>
      </w:r>
      <w:proofErr w:type="spellEnd"/>
      <w:r w:rsidR="00C6637E" w:rsidRPr="003F5B1F">
        <w:t xml:space="preserve">. </w:t>
      </w:r>
    </w:p>
    <w:p w14:paraId="7504FD48" w14:textId="56346BCE" w:rsidR="00464DC0" w:rsidRDefault="00C6637E" w:rsidP="000B7B0D">
      <w:r w:rsidRPr="003F5B1F">
        <w:t xml:space="preserve">Demonstra-se, portanto, que uma das maiores contribuições que a publicação das Estatísticas Fiscais Trimestrais traz para a estatística nacional </w:t>
      </w:r>
      <w:r w:rsidR="00596BA4" w:rsidRPr="003F5B1F">
        <w:t xml:space="preserve">é a possibilidade </w:t>
      </w:r>
      <w:r w:rsidRPr="003F5B1F">
        <w:t xml:space="preserve">de </w:t>
      </w:r>
      <w:r w:rsidR="00507C87" w:rsidRPr="003F5B1F">
        <w:t xml:space="preserve">estender a visão </w:t>
      </w:r>
      <w:r w:rsidR="00653B38" w:rsidRPr="003F5B1F">
        <w:t xml:space="preserve">do panorama fiscal para o longo prazo, bem como </w:t>
      </w:r>
      <w:r w:rsidRPr="003F5B1F">
        <w:t>permitir a comparabilidade internacional dos dados fiscais e econômicos dos entes da federação. Além disso, publica informações relevantes, e pouco difundidas, como o consumo de capital fixo e o seu impacto no cálculo do investimento público</w:t>
      </w:r>
      <w:r w:rsidR="00CF203F" w:rsidRPr="003F5B1F">
        <w:t xml:space="preserve"> e</w:t>
      </w:r>
      <w:r w:rsidRPr="003F5B1F">
        <w:t xml:space="preserve"> </w:t>
      </w:r>
      <w:r w:rsidR="00CF203F" w:rsidRPr="003F5B1F">
        <w:t>n</w:t>
      </w:r>
      <w:r w:rsidRPr="003F5B1F">
        <w:t>a necessidade de financiamento.</w:t>
      </w:r>
    </w:p>
    <w:p w14:paraId="34189AF9" w14:textId="77777777" w:rsidR="00897FE8" w:rsidRPr="003F5B1F" w:rsidRDefault="00897FE8" w:rsidP="000B7B0D"/>
    <w:p w14:paraId="69EEB70B" w14:textId="644B8FE5" w:rsidR="008101D7" w:rsidRDefault="003E4750" w:rsidP="00567554">
      <w:pPr>
        <w:pStyle w:val="Ttulo2"/>
      </w:pPr>
      <w:bookmarkStart w:id="61" w:name="_Toc16087704"/>
      <w:r>
        <w:t>3</w:t>
      </w:r>
      <w:r w:rsidR="00740CAA" w:rsidRPr="00740CAA">
        <w:t>.3</w:t>
      </w:r>
      <w:r w:rsidR="00897FE8">
        <w:t>.</w:t>
      </w:r>
      <w:r w:rsidR="00740CAA" w:rsidRPr="00740CAA">
        <w:t xml:space="preserve"> </w:t>
      </w:r>
      <w:r w:rsidR="00305713" w:rsidRPr="00740CAA">
        <w:t>Boletim de Finanças dos Entes Subnacionais</w:t>
      </w:r>
      <w:bookmarkEnd w:id="61"/>
    </w:p>
    <w:p w14:paraId="41DC22E7" w14:textId="77777777" w:rsidR="00897FE8" w:rsidRPr="00897FE8" w:rsidRDefault="00897FE8" w:rsidP="00897FE8"/>
    <w:p w14:paraId="0AD78CE9" w14:textId="123EA871" w:rsidR="007D3D7A" w:rsidRDefault="007D3D7A" w:rsidP="000B7B0D">
      <w:r w:rsidRPr="003F5B1F">
        <w:t xml:space="preserve">O Boletim de Finanças dos Entes Subnacionais é um relatório anual publicado desde 2016 pela Secretaria do Tesouro Nacional. Seu objetivo é dar transparência às relações </w:t>
      </w:r>
      <w:r w:rsidRPr="003F5B1F">
        <w:lastRenderedPageBreak/>
        <w:t xml:space="preserve">federativas e contribuir para o processo de sustentabilidade fiscal dos </w:t>
      </w:r>
      <w:r w:rsidR="00D32C4A">
        <w:t>e</w:t>
      </w:r>
      <w:r w:rsidRPr="003F5B1F">
        <w:t xml:space="preserve">ntes. Com a disponibilização de informações padronizadas e confiáveis, contribui-se para a adoção de políticas públicas </w:t>
      </w:r>
      <w:r w:rsidR="007D2E8B" w:rsidRPr="003F5B1F">
        <w:t xml:space="preserve">mais </w:t>
      </w:r>
      <w:r w:rsidRPr="003F5B1F">
        <w:t>eficazes e responsáveis fiscalmente.</w:t>
      </w:r>
    </w:p>
    <w:p w14:paraId="3F17CA56" w14:textId="77777777" w:rsidR="001C6B4C" w:rsidRPr="003F5B1F" w:rsidRDefault="001C6B4C" w:rsidP="000B7B0D"/>
    <w:p w14:paraId="270CB4F1" w14:textId="60BAAAE4" w:rsidR="00EB0FA6" w:rsidRDefault="003E4750" w:rsidP="00567554">
      <w:pPr>
        <w:pStyle w:val="Ttulo3"/>
      </w:pPr>
      <w:bookmarkStart w:id="62" w:name="_Toc16087705"/>
      <w:r>
        <w:t>3</w:t>
      </w:r>
      <w:r w:rsidR="00EB0FA6" w:rsidRPr="00554E39">
        <w:t xml:space="preserve">.3.1 </w:t>
      </w:r>
      <w:r w:rsidR="003929E3" w:rsidRPr="00554E39">
        <w:t xml:space="preserve">Contexto: </w:t>
      </w:r>
      <w:r w:rsidR="009612BF" w:rsidRPr="00554E39">
        <w:t>P</w:t>
      </w:r>
      <w:r w:rsidR="00073A1B" w:rsidRPr="00554E39">
        <w:t>rograma de Apoio à Restruturação e ao Ajuste Fiscal dos Estados (PAF)</w:t>
      </w:r>
      <w:bookmarkEnd w:id="62"/>
    </w:p>
    <w:p w14:paraId="743ADC2B" w14:textId="77777777" w:rsidR="001C6B4C" w:rsidRPr="001C6B4C" w:rsidRDefault="001C6B4C" w:rsidP="001C6B4C"/>
    <w:p w14:paraId="0A457255" w14:textId="043F30D9" w:rsidR="007D3D7A" w:rsidRPr="003F5B1F" w:rsidRDefault="007D3D7A" w:rsidP="000B7B0D">
      <w:r w:rsidRPr="003F5B1F">
        <w:t>Durante as décadas de 80 e 90, a União reestruturou a dívida dos entes subnacionais em diversas ocasiões. O PAF surgiu como uma contrapartida à renegociação da dívida de Estados, amparada pela Lei nº 9.496/97. O volume renegociado foi tão alto que se estima que ele atingiu 11,2% do PIB (Canuto e Liu, 2013). Assim, como parte do desenvolvimento de um complexo sistema de controle da dívida por parte do Governo Federal, os Estados tiveram que se comprometer com o PAF, o qual possui metas anuais. Atualmente, 22 Estados, de um total de 26, mais o Distrito Federal</w:t>
      </w:r>
      <w:r w:rsidR="00646652">
        <w:t>,</w:t>
      </w:r>
      <w:r w:rsidRPr="003F5B1F">
        <w:t xml:space="preserve"> ainda fazem parte do Programa.</w:t>
      </w:r>
    </w:p>
    <w:p w14:paraId="4017ED9A" w14:textId="77777777" w:rsidR="00254DDC" w:rsidRPr="003F5B1F" w:rsidRDefault="007D3D7A" w:rsidP="000B7B0D">
      <w:r w:rsidRPr="003F5B1F">
        <w:t xml:space="preserve">No entanto, até 2016, o PAF era regido por regras, metodologia e abrangência próprias. Assim, seus conceitos e valores diferiam das Demonstrações Contábeis e dos Demonstrativos Fiscais. Ou seja, os dados obtidos no Programa não </w:t>
      </w:r>
      <w:r w:rsidR="00A03247" w:rsidRPr="003F5B1F">
        <w:t>eram compatíveis</w:t>
      </w:r>
      <w:r w:rsidRPr="003F5B1F">
        <w:t xml:space="preserve"> com as outras informações disponíveis, prejudicando sua compreensibilidade e transparência, e até mesmo a comparabilidade entre Estados ficava difícil. </w:t>
      </w:r>
    </w:p>
    <w:p w14:paraId="253FD663" w14:textId="0BF4E6D9" w:rsidR="007D3D7A" w:rsidRDefault="007D3D7A" w:rsidP="000B7B0D">
      <w:r w:rsidRPr="003F5B1F">
        <w:t>D</w:t>
      </w:r>
      <w:r w:rsidR="005C3F43" w:rsidRPr="003F5B1F">
        <w:t>iante disso</w:t>
      </w:r>
      <w:r w:rsidRPr="003F5B1F">
        <w:t xml:space="preserve">, a partir da Lei Complementar nº 156/16, o PAF foi alterado, teve suas seis metas fiscais modificadas e </w:t>
      </w:r>
      <w:r w:rsidR="0010560F" w:rsidRPr="003F5B1F">
        <w:t>houve a determinação para</w:t>
      </w:r>
      <w:r w:rsidRPr="003F5B1F">
        <w:t xml:space="preserve"> que seus conceitos e definições </w:t>
      </w:r>
      <w:r w:rsidR="00944947" w:rsidRPr="003F5B1F">
        <w:t>fossem</w:t>
      </w:r>
      <w:r w:rsidRPr="003F5B1F">
        <w:t xml:space="preserve"> os mesmos </w:t>
      </w:r>
      <w:r w:rsidR="00C9590A" w:rsidRPr="003F5B1F">
        <w:t>definidos pela</w:t>
      </w:r>
      <w:r w:rsidRPr="003F5B1F">
        <w:t xml:space="preserve"> Lei de Responsabilidade Fiscal (LRF). Dessa forma, desde 2017, o PAF passou a observar os padrões estabelecidos pelo Manual de Demonstrativos Fiscais (MDF) e pelo Manual de Contabilidade Aplicada ao Setor Público (MCASP) vigentes no exercício avaliado.</w:t>
      </w:r>
      <w:r w:rsidR="00E114A2" w:rsidRPr="003F5B1F">
        <w:t xml:space="preserve"> E</w:t>
      </w:r>
      <w:r w:rsidR="000C0064" w:rsidRPr="003F5B1F">
        <w:t>sses dois manuais</w:t>
      </w:r>
      <w:r w:rsidR="00193C4C" w:rsidRPr="003F5B1F">
        <w:t xml:space="preserve">, </w:t>
      </w:r>
      <w:r w:rsidR="00926818" w:rsidRPr="003F5B1F">
        <w:t xml:space="preserve">recomendados </w:t>
      </w:r>
      <w:r w:rsidR="00CE0179" w:rsidRPr="003F5B1F">
        <w:t>e confeccionados pela STN,</w:t>
      </w:r>
      <w:r w:rsidR="00C316D6" w:rsidRPr="003F5B1F">
        <w:t xml:space="preserve"> adv</w:t>
      </w:r>
      <w:r w:rsidR="00254DDC" w:rsidRPr="003F5B1F">
        <w:t>êm da necessidade</w:t>
      </w:r>
      <w:r w:rsidR="00270672" w:rsidRPr="003F5B1F">
        <w:t xml:space="preserve"> de se padronizar relatórios e procedimentos fiscais e contábeis</w:t>
      </w:r>
      <w:r w:rsidR="00DC25A2" w:rsidRPr="003F5B1F">
        <w:t xml:space="preserve"> e realizar a consolidação das contas públicas</w:t>
      </w:r>
      <w:r w:rsidR="00541C6E" w:rsidRPr="003F5B1F">
        <w:t xml:space="preserve">, amparados pela LRF e pela convergência do setor público às normas </w:t>
      </w:r>
      <w:r w:rsidR="00193C4C" w:rsidRPr="003F5B1F">
        <w:t>internacionais de contabilidade</w:t>
      </w:r>
      <w:r w:rsidR="00CE0179" w:rsidRPr="003F5B1F">
        <w:t xml:space="preserve"> aplicadas ao setor público.</w:t>
      </w:r>
      <w:r w:rsidR="00254DDC" w:rsidRPr="003F5B1F">
        <w:t xml:space="preserve"> </w:t>
      </w:r>
    </w:p>
    <w:p w14:paraId="4D48D8D1" w14:textId="77777777" w:rsidR="001C6B4C" w:rsidRPr="003F5B1F" w:rsidRDefault="001C6B4C" w:rsidP="000B7B0D"/>
    <w:p w14:paraId="02C2773A" w14:textId="3FC50C6A" w:rsidR="00D645AE" w:rsidRPr="00554E39" w:rsidRDefault="003E4750" w:rsidP="00567554">
      <w:pPr>
        <w:pStyle w:val="Ttulo3"/>
      </w:pPr>
      <w:bookmarkStart w:id="63" w:name="_Toc16087706"/>
      <w:r>
        <w:t>3</w:t>
      </w:r>
      <w:r w:rsidR="00D645AE" w:rsidRPr="00554E39">
        <w:t>.3.2 Operacionalização</w:t>
      </w:r>
      <w:bookmarkEnd w:id="63"/>
    </w:p>
    <w:p w14:paraId="2441BEE6" w14:textId="77777777" w:rsidR="001C6B4C" w:rsidRDefault="001C6B4C" w:rsidP="000B7B0D"/>
    <w:p w14:paraId="1D104D96" w14:textId="7EB2966D" w:rsidR="007D3D7A" w:rsidRDefault="00E56509" w:rsidP="000B7B0D">
      <w:r w:rsidRPr="003F5B1F">
        <w:t xml:space="preserve">Os dados obtidos por meio do PAF nortearam a criação </w:t>
      </w:r>
      <w:r w:rsidR="007C43FC" w:rsidRPr="003F5B1F">
        <w:t xml:space="preserve">do Boletim de Finanças dos Entes Subnacionais. </w:t>
      </w:r>
      <w:r w:rsidR="00BC1034" w:rsidRPr="003F5B1F">
        <w:t>E a</w:t>
      </w:r>
      <w:r w:rsidR="007D3D7A" w:rsidRPr="003F5B1F">
        <w:t xml:space="preserve"> principal fonte de informações do PAF</w:t>
      </w:r>
      <w:r w:rsidR="00BC1034" w:rsidRPr="003F5B1F">
        <w:t xml:space="preserve"> </w:t>
      </w:r>
      <w:r w:rsidR="007D3D7A" w:rsidRPr="003F5B1F">
        <w:t xml:space="preserve">é o Sistema de Informações Contábeis e Fiscais do Setor Público Brasileiro </w:t>
      </w:r>
      <w:r w:rsidR="00B57B6C" w:rsidRPr="003F5B1F">
        <w:t xml:space="preserve">– </w:t>
      </w:r>
      <w:proofErr w:type="spellStart"/>
      <w:r w:rsidR="007D3D7A" w:rsidRPr="003F5B1F">
        <w:t>Siconfi</w:t>
      </w:r>
      <w:proofErr w:type="spellEnd"/>
      <w:r w:rsidR="007D3D7A" w:rsidRPr="003F5B1F">
        <w:t xml:space="preserve">. </w:t>
      </w:r>
      <w:r w:rsidR="00380436" w:rsidRPr="003F5B1F">
        <w:t xml:space="preserve">Os entes </w:t>
      </w:r>
      <w:r w:rsidR="008656E0" w:rsidRPr="003F5B1F">
        <w:t xml:space="preserve">da federação enviam seus </w:t>
      </w:r>
      <w:r w:rsidR="008656E0" w:rsidRPr="003F5B1F">
        <w:lastRenderedPageBreak/>
        <w:t>dados</w:t>
      </w:r>
      <w:r w:rsidR="00E07C78" w:rsidRPr="003F5B1F">
        <w:t>, cuja auditoria é de responsabilidade das cortes de cont</w:t>
      </w:r>
      <w:r w:rsidR="00A8293F" w:rsidRPr="003F5B1F">
        <w:t>a,</w:t>
      </w:r>
      <w:r w:rsidR="008656E0" w:rsidRPr="003F5B1F">
        <w:t xml:space="preserve"> para </w:t>
      </w:r>
      <w:r w:rsidR="004453BC" w:rsidRPr="003F5B1F">
        <w:t xml:space="preserve">o </w:t>
      </w:r>
      <w:proofErr w:type="spellStart"/>
      <w:r w:rsidR="004453BC" w:rsidRPr="003F5B1F">
        <w:t>Siconfi</w:t>
      </w:r>
      <w:proofErr w:type="spellEnd"/>
      <w:r w:rsidR="00A8293F" w:rsidRPr="003F5B1F">
        <w:t xml:space="preserve">. </w:t>
      </w:r>
      <w:r w:rsidR="007D3D7A" w:rsidRPr="003F5B1F">
        <w:t xml:space="preserve">No entanto, como cada Estado possui um tribunal de contas com autonomia constitucional para expedir regras de controle, há uma diversidade de interpretações e </w:t>
      </w:r>
      <w:r w:rsidR="005A4140" w:rsidRPr="003F5B1F">
        <w:t xml:space="preserve">uma </w:t>
      </w:r>
      <w:r w:rsidR="007D3D7A" w:rsidRPr="003F5B1F">
        <w:t>falta de padronização. Na prática, muitas vezes</w:t>
      </w:r>
      <w:r w:rsidR="005A4140" w:rsidRPr="003F5B1F">
        <w:t>,</w:t>
      </w:r>
      <w:r w:rsidR="007D3D7A" w:rsidRPr="003F5B1F">
        <w:t xml:space="preserve"> os Manuais publicados pela STN não são atendidos, em detrimento dos diferentes entendimentos dos tribunais de contas dos estados. Para contornar essa falta de padronização, os valores extraídos do </w:t>
      </w:r>
      <w:proofErr w:type="spellStart"/>
      <w:r w:rsidR="007D3D7A" w:rsidRPr="003F5B1F">
        <w:t>Siconfi</w:t>
      </w:r>
      <w:proofErr w:type="spellEnd"/>
      <w:r w:rsidR="007D3D7A" w:rsidRPr="003F5B1F">
        <w:t xml:space="preserve"> são ajustados conforme o MDF. Para tanto, a STN utiliza também o Balanço Geral do Estado e outras informações solicitadas</w:t>
      </w:r>
      <w:r w:rsidR="009F309F" w:rsidRPr="003F5B1F">
        <w:t xml:space="preserve"> diretamente ao ente</w:t>
      </w:r>
      <w:r w:rsidR="007D3D7A" w:rsidRPr="003F5B1F">
        <w:t>.</w:t>
      </w:r>
    </w:p>
    <w:p w14:paraId="6467499C" w14:textId="77777777" w:rsidR="00B57F1A" w:rsidRPr="003F5B1F" w:rsidRDefault="00B57F1A" w:rsidP="000B7B0D"/>
    <w:p w14:paraId="2B2BBBA9" w14:textId="689A4B74" w:rsidR="00273989" w:rsidRDefault="003E4750" w:rsidP="00567554">
      <w:pPr>
        <w:pStyle w:val="Ttulo3"/>
      </w:pPr>
      <w:bookmarkStart w:id="64" w:name="_Toc16087707"/>
      <w:r>
        <w:t>3</w:t>
      </w:r>
      <w:r w:rsidR="00273989" w:rsidRPr="00554E39">
        <w:t>.3.</w:t>
      </w:r>
      <w:r w:rsidR="00410EA1" w:rsidRPr="00554E39">
        <w:t>3</w:t>
      </w:r>
      <w:r w:rsidR="00B57F1A">
        <w:t>.</w:t>
      </w:r>
      <w:r w:rsidR="00273989" w:rsidRPr="00554E39">
        <w:t xml:space="preserve"> </w:t>
      </w:r>
      <w:r w:rsidR="003929E3" w:rsidRPr="00554E39">
        <w:t>E</w:t>
      </w:r>
      <w:r w:rsidR="00273989" w:rsidRPr="00554E39">
        <w:t>strutura</w:t>
      </w:r>
      <w:r w:rsidR="003929E3" w:rsidRPr="00554E39">
        <w:t xml:space="preserve"> e principais características</w:t>
      </w:r>
      <w:bookmarkEnd w:id="64"/>
    </w:p>
    <w:p w14:paraId="024D8B8B" w14:textId="77777777" w:rsidR="00B57F1A" w:rsidRPr="00B57F1A" w:rsidRDefault="00B57F1A" w:rsidP="00B57F1A"/>
    <w:p w14:paraId="157D411F" w14:textId="62E94C94" w:rsidR="007D3D7A" w:rsidRPr="003F5B1F" w:rsidRDefault="007D3D7A" w:rsidP="000B7B0D">
      <w:r w:rsidRPr="003F5B1F">
        <w:t>O Boletim de Finanças dos Entes Subnacionais subdivide-se nas seguintes seções: (i) Apresentação; (</w:t>
      </w:r>
      <w:proofErr w:type="spellStart"/>
      <w:r w:rsidRPr="003F5B1F">
        <w:t>ii</w:t>
      </w:r>
      <w:proofErr w:type="spellEnd"/>
      <w:r w:rsidRPr="003F5B1F">
        <w:t>) Panorama Fiscal; (</w:t>
      </w:r>
      <w:proofErr w:type="spellStart"/>
      <w:r w:rsidRPr="003F5B1F">
        <w:t>iii</w:t>
      </w:r>
      <w:proofErr w:type="spellEnd"/>
      <w:r w:rsidRPr="003F5B1F">
        <w:t>) Panorama Fiscal – Municípios; (</w:t>
      </w:r>
      <w:proofErr w:type="spellStart"/>
      <w:r w:rsidRPr="003F5B1F">
        <w:t>iv</w:t>
      </w:r>
      <w:proofErr w:type="spellEnd"/>
      <w:r w:rsidRPr="003F5B1F">
        <w:t>) Indicadores das Capitais Estaduais; (v) Capacidade de Pagamento; (vi) Análise Crítica; e (</w:t>
      </w:r>
      <w:proofErr w:type="spellStart"/>
      <w:r w:rsidRPr="003F5B1F">
        <w:t>vii</w:t>
      </w:r>
      <w:proofErr w:type="spellEnd"/>
      <w:r w:rsidRPr="003F5B1F">
        <w:t>) Informações Fiscais.</w:t>
      </w:r>
    </w:p>
    <w:p w14:paraId="0137FCA3" w14:textId="73EF0446" w:rsidR="007D3D7A" w:rsidRDefault="007D3D7A" w:rsidP="000B7B0D">
      <w:r w:rsidRPr="003F5B1F">
        <w:t>No Panorama Fiscal</w:t>
      </w:r>
      <w:r w:rsidR="00591E81" w:rsidRPr="003F5B1F">
        <w:t>,</w:t>
      </w:r>
      <w:r w:rsidRPr="003F5B1F">
        <w:t xml:space="preserve"> que tra</w:t>
      </w:r>
      <w:r w:rsidR="00B23A61" w:rsidRPr="003F5B1F">
        <w:t>z informações agregadas</w:t>
      </w:r>
      <w:r w:rsidRPr="003F5B1F">
        <w:t xml:space="preserve"> dos Estados, temos inicialmente o Resultado Orçamentário</w:t>
      </w:r>
      <w:r w:rsidR="00FE530A" w:rsidRPr="003F5B1F">
        <w:t>,</w:t>
      </w:r>
      <w:r w:rsidRPr="003F5B1F">
        <w:t xml:space="preserve"> </w:t>
      </w:r>
      <w:r w:rsidR="00690F34" w:rsidRPr="003F5B1F">
        <w:t>isto é,</w:t>
      </w:r>
      <w:r w:rsidRPr="003F5B1F">
        <w:t xml:space="preserve"> a diferença entre todas as receitas arrecadadas e todas as despesas empenhadas no exercício. Dessa forma, ele indica se as receitas foram suficientes para arcar com as despesas. A análise da despesa é feita com base no estágio do empenho. Para seu cálculo, parte-se do Resultado Primário pelo critério </w:t>
      </w:r>
      <w:r w:rsidR="00BA0947" w:rsidRPr="003F5B1F">
        <w:t>“</w:t>
      </w:r>
      <w:r w:rsidRPr="003F5B1F">
        <w:t>acima da linha</w:t>
      </w:r>
      <w:r w:rsidR="00BA0947" w:rsidRPr="003F5B1F">
        <w:t>”</w:t>
      </w:r>
      <w:r w:rsidRPr="003F5B1F">
        <w:t>. Em seguida, calcula-se a Necessidade de Financiamento, dada pela Despesa Financeira Líquida menos o Resultado Primário. Por fim, o Resultado Orçamentário é igual às Fontes de Financiamento menos a Necessidade de Financiamento.</w:t>
      </w:r>
    </w:p>
    <w:p w14:paraId="5E228D29" w14:textId="77777777" w:rsidR="00B57F1A" w:rsidRDefault="00B57F1A" w:rsidP="00B57F1A">
      <w:pPr>
        <w:jc w:val="center"/>
        <w:rPr>
          <w:b/>
        </w:rPr>
      </w:pPr>
    </w:p>
    <w:p w14:paraId="60843E66" w14:textId="77777777" w:rsidR="00B57F1A" w:rsidRDefault="00B57F1A" w:rsidP="00B57F1A">
      <w:pPr>
        <w:jc w:val="center"/>
        <w:rPr>
          <w:b/>
        </w:rPr>
      </w:pPr>
    </w:p>
    <w:p w14:paraId="4FEE09C1" w14:textId="77777777" w:rsidR="00B57F1A" w:rsidRDefault="00B57F1A" w:rsidP="00B57F1A">
      <w:pPr>
        <w:jc w:val="center"/>
        <w:rPr>
          <w:b/>
        </w:rPr>
      </w:pPr>
    </w:p>
    <w:p w14:paraId="64F4A3FB" w14:textId="77777777" w:rsidR="00B57F1A" w:rsidRDefault="00B57F1A" w:rsidP="00B57F1A">
      <w:pPr>
        <w:jc w:val="center"/>
        <w:rPr>
          <w:b/>
        </w:rPr>
      </w:pPr>
    </w:p>
    <w:p w14:paraId="783B650E" w14:textId="77777777" w:rsidR="00B57F1A" w:rsidRDefault="00B57F1A" w:rsidP="00B57F1A">
      <w:pPr>
        <w:jc w:val="center"/>
        <w:rPr>
          <w:b/>
        </w:rPr>
      </w:pPr>
    </w:p>
    <w:p w14:paraId="46AB9F95" w14:textId="77777777" w:rsidR="00B57F1A" w:rsidRDefault="00B57F1A" w:rsidP="00B57F1A">
      <w:pPr>
        <w:jc w:val="center"/>
        <w:rPr>
          <w:b/>
        </w:rPr>
      </w:pPr>
    </w:p>
    <w:p w14:paraId="7F54A816" w14:textId="77777777" w:rsidR="00B57F1A" w:rsidRDefault="00B57F1A" w:rsidP="00B57F1A">
      <w:pPr>
        <w:jc w:val="center"/>
        <w:rPr>
          <w:b/>
        </w:rPr>
      </w:pPr>
    </w:p>
    <w:p w14:paraId="29FC1431" w14:textId="77777777" w:rsidR="00B57F1A" w:rsidRDefault="00B57F1A" w:rsidP="00B57F1A">
      <w:pPr>
        <w:jc w:val="center"/>
        <w:rPr>
          <w:b/>
        </w:rPr>
      </w:pPr>
    </w:p>
    <w:p w14:paraId="6946A1BD" w14:textId="77777777" w:rsidR="00B57F1A" w:rsidRDefault="00B57F1A" w:rsidP="00B57F1A">
      <w:pPr>
        <w:jc w:val="center"/>
        <w:rPr>
          <w:b/>
        </w:rPr>
      </w:pPr>
    </w:p>
    <w:p w14:paraId="043E8A89" w14:textId="77777777" w:rsidR="00B57F1A" w:rsidRDefault="00B57F1A" w:rsidP="00B57F1A">
      <w:pPr>
        <w:jc w:val="center"/>
        <w:rPr>
          <w:b/>
        </w:rPr>
      </w:pPr>
    </w:p>
    <w:p w14:paraId="64004C06" w14:textId="6312F703" w:rsidR="00B57F1A" w:rsidRPr="00B57F1A" w:rsidRDefault="00B57F1A" w:rsidP="00B57F1A">
      <w:pPr>
        <w:jc w:val="center"/>
        <w:rPr>
          <w:b/>
        </w:rPr>
      </w:pPr>
      <w:r w:rsidRPr="00B57F1A">
        <w:rPr>
          <w:b/>
        </w:rPr>
        <w:lastRenderedPageBreak/>
        <w:t>Figura 7 – Componentes do Resultado Orçamentário</w:t>
      </w:r>
    </w:p>
    <w:p w14:paraId="4FC17216" w14:textId="41159256" w:rsidR="0073604E" w:rsidRPr="003F5B1F" w:rsidRDefault="0073604E" w:rsidP="00B57F1A">
      <w:pPr>
        <w:jc w:val="center"/>
      </w:pPr>
      <w:r w:rsidRPr="003F5B1F">
        <w:rPr>
          <w:noProof/>
        </w:rPr>
        <w:drawing>
          <wp:inline distT="0" distB="0" distL="0" distR="0" wp14:anchorId="7C9216B9" wp14:editId="291747C8">
            <wp:extent cx="2495550" cy="3743325"/>
            <wp:effectExtent l="19050" t="19050" r="19050" b="285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5550" cy="3743325"/>
                    </a:xfrm>
                    <a:prstGeom prst="rect">
                      <a:avLst/>
                    </a:prstGeom>
                    <a:ln w="12700">
                      <a:solidFill>
                        <a:schemeClr val="bg2">
                          <a:lumMod val="90000"/>
                        </a:schemeClr>
                      </a:solidFill>
                    </a:ln>
                  </pic:spPr>
                </pic:pic>
              </a:graphicData>
            </a:graphic>
          </wp:inline>
        </w:drawing>
      </w:r>
    </w:p>
    <w:p w14:paraId="0D4BDA6B" w14:textId="31C491FF" w:rsidR="00613AE2" w:rsidRDefault="00613AE2" w:rsidP="00613AE2">
      <w:pPr>
        <w:pStyle w:val="Subttulo"/>
      </w:pPr>
      <w:r>
        <w:tab/>
      </w:r>
      <w:r>
        <w:tab/>
      </w:r>
      <w:r>
        <w:tab/>
      </w:r>
      <w:r>
        <w:tab/>
        <w:t xml:space="preserve">  Fonte: Secretaria do Tesouro Nacional</w:t>
      </w:r>
      <w:r w:rsidRPr="003F5B1F">
        <w:t xml:space="preserve"> </w:t>
      </w:r>
    </w:p>
    <w:p w14:paraId="5D21A01A" w14:textId="77777777" w:rsidR="00613AE2" w:rsidRPr="00613AE2" w:rsidRDefault="00613AE2" w:rsidP="00613AE2"/>
    <w:p w14:paraId="5BE3996F" w14:textId="2BC3B036" w:rsidR="007D3D7A" w:rsidRPr="003F5B1F" w:rsidRDefault="007D3D7A" w:rsidP="000B7B0D">
      <w:r w:rsidRPr="003F5B1F">
        <w:t xml:space="preserve">Na sequência, o cálculo do Resultado Primário dos Estados é detalhado. A metodologia utiliza o critério </w:t>
      </w:r>
      <w:r w:rsidR="00D91AC2" w:rsidRPr="003F5B1F">
        <w:t>“</w:t>
      </w:r>
      <w:r w:rsidRPr="003F5B1F">
        <w:t>acima da linha</w:t>
      </w:r>
      <w:r w:rsidR="00D91AC2" w:rsidRPr="003F5B1F">
        <w:t>”</w:t>
      </w:r>
      <w:r w:rsidRPr="003F5B1F">
        <w:t xml:space="preserve"> e são apresentados dois Resultados Primários: o primeiro com base na despesa empenhada</w:t>
      </w:r>
      <w:r w:rsidR="00CD5BAD" w:rsidRPr="003F5B1F">
        <w:t>, em consonância com o Resultado Orçamentário,</w:t>
      </w:r>
      <w:r w:rsidRPr="003F5B1F">
        <w:t xml:space="preserve"> e o segundo pelo regime caixa, conforme determinado pelo MDF e utilizado pelo PAF. </w:t>
      </w:r>
    </w:p>
    <w:p w14:paraId="45821536" w14:textId="36B523EB" w:rsidR="007D3D7A" w:rsidRPr="003F5B1F" w:rsidRDefault="007D3D7A" w:rsidP="000B7B0D">
      <w:r w:rsidRPr="003F5B1F">
        <w:t xml:space="preserve">Pela ótica do caixa, o Resultado Primário é calculado a partir das receitas orçamentárias que efetivamente diminuem o montante da Dívida Consolidada Líquida, ou seja, que aumentam as disponibilidades de caixa do ente sem um equivalente aumento no montante de sua dívida consolidada, excetuadas aquelas com </w:t>
      </w:r>
      <w:r w:rsidR="00F06EAB" w:rsidRPr="003F5B1F">
        <w:t>aplicações financeiras</w:t>
      </w:r>
      <w:r w:rsidRPr="003F5B1F">
        <w:t xml:space="preserve"> e aquelas fruto de alienação de investimentos. As receitas primárias são, portanto, receitas orçamentárias apuradas necessariamente pelo regime de caixa. Dessas receitas, deduzem-se as despesas orçamentárias, apuradas pelo regime de caixa, que diminuem o estoque das disponibilidades de caixa e haveres financeiros sem uma contrapartida em forma de diminuição equivalente no estoque da dívida consolidada. A apuração </w:t>
      </w:r>
      <w:r w:rsidR="00E3575B" w:rsidRPr="003F5B1F">
        <w:t>“</w:t>
      </w:r>
      <w:r w:rsidRPr="003F5B1F">
        <w:t>acima da linha</w:t>
      </w:r>
      <w:r w:rsidR="00E3575B" w:rsidRPr="003F5B1F">
        <w:t>”</w:t>
      </w:r>
      <w:r w:rsidRPr="003F5B1F">
        <w:t xml:space="preserve"> do Resultado Primário possibilita uma avaliação do impacto da política fiscal em execução pelo ente da Federação (STN, 201</w:t>
      </w:r>
      <w:r w:rsidR="000B6306">
        <w:t>8</w:t>
      </w:r>
      <w:r w:rsidRPr="003F5B1F">
        <w:t>).</w:t>
      </w:r>
    </w:p>
    <w:p w14:paraId="2A748E69" w14:textId="5A906F92" w:rsidR="007D3D7A" w:rsidRDefault="007D3D7A" w:rsidP="000B7B0D">
      <w:r w:rsidRPr="003F5B1F">
        <w:t xml:space="preserve">O resultado primário baseado na despesa paga, apresentado no Boletim, diferencia-se consideravelmente do calculado pelo Banco Central do Brasil (BCB), devido à diferença </w:t>
      </w:r>
      <w:r w:rsidRPr="003F5B1F">
        <w:lastRenderedPageBreak/>
        <w:t xml:space="preserve">metodológica entre os dois cálculos. Primeiramente, o BCB adota a metodologia de apuração </w:t>
      </w:r>
      <w:r w:rsidR="005244B3" w:rsidRPr="003F5B1F">
        <w:t>“</w:t>
      </w:r>
      <w:r w:rsidRPr="003F5B1F">
        <w:t>abaixo da linha</w:t>
      </w:r>
      <w:r w:rsidR="005244B3" w:rsidRPr="003F5B1F">
        <w:t>”</w:t>
      </w:r>
      <w:r w:rsidRPr="003F5B1F">
        <w:t>, sendo o resultado primário dado pela variação do montante das dívidas líquidas dos Entes, descontada da apropriação de juros nominais. Em segundo lugar, a metodologia do BCB não considera as dívidas fora do sistema financeiro e</w:t>
      </w:r>
      <w:r w:rsidR="00DA0241" w:rsidRPr="003F5B1F">
        <w:t>,</w:t>
      </w:r>
      <w:r w:rsidRPr="003F5B1F">
        <w:t xml:space="preserve"> por isso</w:t>
      </w:r>
      <w:r w:rsidR="00DA0241" w:rsidRPr="003F5B1F">
        <w:t>,</w:t>
      </w:r>
      <w:r w:rsidRPr="003F5B1F">
        <w:t xml:space="preserve"> acaba não sendo afetada pelas inscrições de restos a pagar, precatórios e outras dívidas, que pioram significativamente o resultado apurado pelo PAF (STN, 2018). Em relação ao resultado primário </w:t>
      </w:r>
      <w:r w:rsidR="00BC028B" w:rsidRPr="003F5B1F">
        <w:t>“</w:t>
      </w:r>
      <w:r w:rsidRPr="003F5B1F">
        <w:t>acima da linha</w:t>
      </w:r>
      <w:r w:rsidR="00BC028B" w:rsidRPr="003F5B1F">
        <w:t>”</w:t>
      </w:r>
      <w:r w:rsidRPr="003F5B1F">
        <w:t xml:space="preserve"> baseado nas despesas empenhadas, o resultado primário baseado na despesa paga apresenta desempenho bem superior, o que indica a tendência de acúmulo de restos a pagar por parte dos entes.</w:t>
      </w:r>
    </w:p>
    <w:p w14:paraId="44D04BCC" w14:textId="77777777" w:rsidR="00613AE2" w:rsidRDefault="00613AE2" w:rsidP="00613AE2"/>
    <w:p w14:paraId="72152C85" w14:textId="434FF50A" w:rsidR="00613AE2" w:rsidRPr="00613AE2" w:rsidRDefault="00613AE2" w:rsidP="00613AE2">
      <w:pPr>
        <w:jc w:val="center"/>
        <w:rPr>
          <w:b/>
        </w:rPr>
      </w:pPr>
      <w:r w:rsidRPr="00613AE2">
        <w:rPr>
          <w:b/>
        </w:rPr>
        <w:t>Figura 8</w:t>
      </w:r>
      <w:r>
        <w:rPr>
          <w:b/>
        </w:rPr>
        <w:t xml:space="preserve"> –</w:t>
      </w:r>
      <w:r w:rsidRPr="00613AE2">
        <w:rPr>
          <w:b/>
        </w:rPr>
        <w:t xml:space="preserve"> </w:t>
      </w:r>
      <w:r>
        <w:rPr>
          <w:b/>
        </w:rPr>
        <w:t>C</w:t>
      </w:r>
      <w:r w:rsidRPr="00613AE2">
        <w:rPr>
          <w:b/>
        </w:rPr>
        <w:t>omponentes do Resultado Primário</w:t>
      </w:r>
    </w:p>
    <w:p w14:paraId="2E095B93" w14:textId="1144A664" w:rsidR="00EF5014" w:rsidRPr="003F5B1F" w:rsidRDefault="00EF5014" w:rsidP="00613AE2">
      <w:pPr>
        <w:jc w:val="center"/>
      </w:pPr>
      <w:r w:rsidRPr="003F5B1F">
        <w:rPr>
          <w:noProof/>
        </w:rPr>
        <w:drawing>
          <wp:inline distT="0" distB="0" distL="0" distR="0" wp14:anchorId="1C36EE55" wp14:editId="21663883">
            <wp:extent cx="2286000" cy="5505450"/>
            <wp:effectExtent l="19050" t="19050" r="19050" b="190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6000" cy="5505450"/>
                    </a:xfrm>
                    <a:prstGeom prst="rect">
                      <a:avLst/>
                    </a:prstGeom>
                    <a:ln w="12700">
                      <a:solidFill>
                        <a:schemeClr val="bg2">
                          <a:lumMod val="90000"/>
                        </a:schemeClr>
                      </a:solidFill>
                    </a:ln>
                  </pic:spPr>
                </pic:pic>
              </a:graphicData>
            </a:graphic>
          </wp:inline>
        </w:drawing>
      </w:r>
    </w:p>
    <w:p w14:paraId="3C9002FD" w14:textId="4B9C225C" w:rsidR="00613AE2" w:rsidRDefault="00613AE2" w:rsidP="00613AE2">
      <w:pPr>
        <w:pStyle w:val="Subttulo"/>
      </w:pPr>
      <w:r>
        <w:tab/>
      </w:r>
      <w:r>
        <w:tab/>
      </w:r>
      <w:r>
        <w:tab/>
      </w:r>
      <w:r>
        <w:tab/>
        <w:t xml:space="preserve">     Fonte: Secretaria do Tesouro Nacional</w:t>
      </w:r>
      <w:r w:rsidRPr="003F5B1F">
        <w:t xml:space="preserve"> </w:t>
      </w:r>
    </w:p>
    <w:p w14:paraId="54882B29" w14:textId="3022A7E7" w:rsidR="007D3D7A" w:rsidRPr="003F5B1F" w:rsidRDefault="007D3D7A" w:rsidP="000B7B0D">
      <w:r w:rsidRPr="003F5B1F">
        <w:lastRenderedPageBreak/>
        <w:t xml:space="preserve">Outro importante demonstrativo do Boletim é o da Despesa com Pessoal. São apresentados os valores empenhados da Despesa de Pessoal por Estado </w:t>
      </w:r>
      <w:r w:rsidR="004E538D" w:rsidRPr="003F5B1F">
        <w:t>e</w:t>
      </w:r>
      <w:r w:rsidRPr="003F5B1F">
        <w:t xml:space="preserve"> seu percentual de comprometimento em relação à Receita Corrente Líquida (RCL). Este é um indicador para o qual, em geral, o entendimento dos tribunais de contas estaduais diverge bastante do MDF e </w:t>
      </w:r>
      <w:r w:rsidR="00E32487" w:rsidRPr="003F5B1F">
        <w:t xml:space="preserve">do </w:t>
      </w:r>
      <w:r w:rsidRPr="003F5B1F">
        <w:t>MCASP. Apenas seis Estados divulgaram em seus respectivos R</w:t>
      </w:r>
      <w:r w:rsidR="008D691A" w:rsidRPr="003F5B1F">
        <w:t xml:space="preserve">elatórios de </w:t>
      </w:r>
      <w:r w:rsidRPr="003F5B1F">
        <w:t>G</w:t>
      </w:r>
      <w:r w:rsidR="008D691A" w:rsidRPr="003F5B1F">
        <w:t xml:space="preserve">estão </w:t>
      </w:r>
      <w:r w:rsidRPr="003F5B1F">
        <w:t>F</w:t>
      </w:r>
      <w:r w:rsidR="008D691A" w:rsidRPr="003F5B1F">
        <w:t>iscal (RGF)</w:t>
      </w:r>
      <w:r w:rsidR="00AC0F9B" w:rsidRPr="003F5B1F">
        <w:t>, exigência da LRF e enviado</w:t>
      </w:r>
      <w:r w:rsidR="000F1369" w:rsidRPr="003F5B1F">
        <w:t>s</w:t>
      </w:r>
      <w:r w:rsidR="00AC0F9B" w:rsidRPr="003F5B1F">
        <w:t xml:space="preserve"> ao </w:t>
      </w:r>
      <w:proofErr w:type="spellStart"/>
      <w:r w:rsidR="00AC0F9B" w:rsidRPr="003F5B1F">
        <w:t>Siconfi</w:t>
      </w:r>
      <w:proofErr w:type="spellEnd"/>
      <w:r w:rsidR="00AC0F9B" w:rsidRPr="003F5B1F">
        <w:t>,</w:t>
      </w:r>
      <w:r w:rsidRPr="003F5B1F">
        <w:t xml:space="preserve"> valores de Despesa de Pessoal que ultrapassam o limite de 60% da RCL, determinado pela LRF. No entanto, após os ajustes do PAF, esse valor aumentou para quatorze Estados. Alguns Estados, por exemplo, não consideram em suas despesas com pessoal rubricas de despesas importantes, como as despesas com pensionistas, </w:t>
      </w:r>
      <w:r w:rsidR="000F1369" w:rsidRPr="003F5B1F">
        <w:t xml:space="preserve">o </w:t>
      </w:r>
      <w:r w:rsidRPr="003F5B1F">
        <w:t xml:space="preserve">imposto de renda retido na fonte e as despesas com obrigações patronais. Assim, os valores declarados no </w:t>
      </w:r>
      <w:proofErr w:type="spellStart"/>
      <w:r w:rsidRPr="003F5B1F">
        <w:t>Siconfi</w:t>
      </w:r>
      <w:proofErr w:type="spellEnd"/>
      <w:r w:rsidRPr="003F5B1F">
        <w:t xml:space="preserve"> foram devidamente ajustados.</w:t>
      </w:r>
    </w:p>
    <w:p w14:paraId="1DCECC55" w14:textId="2F57A8D5" w:rsidR="00506BA5" w:rsidRPr="003F5B1F" w:rsidRDefault="00506BA5" w:rsidP="000B7B0D">
      <w:r w:rsidRPr="003F5B1F">
        <w:t xml:space="preserve">Na metodologia utilizada, a Despesa com Pessoal é dada pela soma do gasto com pessoal ativo, pessoal inativo e pensionistas, demais despesas com pessoal e encargos e outras despesas de terceirização. Desse valor, subtraem-se as indenizações por demissão e incentivos à demissão voluntária, despesas com decisão judicial de período anterior ao da apuração, despesas de exercícios anteriores de período anterior ao da apuração e gastos com </w:t>
      </w:r>
      <w:bookmarkStart w:id="65" w:name="_Hlk531810330"/>
      <w:r w:rsidRPr="003F5B1F">
        <w:t>inativos e pensionistas com recursos vinculados</w:t>
      </w:r>
      <w:bookmarkEnd w:id="65"/>
      <w:r w:rsidRPr="003F5B1F">
        <w:t>, isto é, suportados pela previdência.</w:t>
      </w:r>
    </w:p>
    <w:p w14:paraId="06EC95A5" w14:textId="2B04B38F" w:rsidR="007D3D7A" w:rsidRPr="003F5B1F" w:rsidRDefault="007D3D7A" w:rsidP="000B7B0D">
      <w:r w:rsidRPr="003F5B1F">
        <w:t xml:space="preserve">O Boletim de Finanças dos Entes Subnacionais explicita, ainda, a evolução do custo dos regimes de previdência estadual. Esse custo é o aporte realizado pelo Tesouro Estadual para cobrir o déficit previdenciário de todos os Poderes, também pela ótica do empenho. Ou seja, o montante de recursos gastos além dos vinculados à Previdência. O custo dos regimes de previdência estadual são demonstrados segundo três fontes de informação: o PAF, que utiliza informações da execução orçamentária dos Estados, com ajustes necessários para apurar o custo real dos inativos e pensionistas para o Tesouro do Estado; o Relatório Resumido de Execução Orçamentária (RREO) e a Declaração de Informações Previdenciárias e Repasses (DIPR), divulgada pela Secretaria da Previdência (SPREV), os dois últimos com informações declaradas pelos próprios </w:t>
      </w:r>
      <w:r w:rsidR="00403FA8" w:rsidRPr="003F5B1F">
        <w:t>e</w:t>
      </w:r>
      <w:r w:rsidRPr="003F5B1F">
        <w:t xml:space="preserve">ntes. </w:t>
      </w:r>
    </w:p>
    <w:p w14:paraId="3D3594F0" w14:textId="77777777" w:rsidR="007D3D7A" w:rsidRPr="003F5B1F" w:rsidRDefault="007D3D7A" w:rsidP="000B7B0D">
      <w:r w:rsidRPr="003F5B1F">
        <w:t>Em relação aos Investimentos, é demonstrada a evolução de seu valor total em relação à RCL e dos investimentos com recursos próprios em relação ao investimento total. Conforme o MDF, essa conta registra as despesas com o planejamento e a execução de obras, inclusive com a aquisição de imóveis considerados necessários à realização destas últimas, e com a aquisição de instalações, equipamentos e material permanente, custeadas com recursos oriundos da alienação de ativos.</w:t>
      </w:r>
    </w:p>
    <w:p w14:paraId="792619C1" w14:textId="06DBA8FB" w:rsidR="00305713" w:rsidRPr="003F5B1F" w:rsidRDefault="000F2EE5" w:rsidP="000B7B0D">
      <w:r w:rsidRPr="003F5B1F">
        <w:lastRenderedPageBreak/>
        <w:t>Por fim, n</w:t>
      </w:r>
      <w:r w:rsidR="007D3D7A" w:rsidRPr="003F5B1F">
        <w:t>a seção Panorama Fiscal – Municípios, o Resultado Orçamentário e a Dívida Consolidada agregados d</w:t>
      </w:r>
      <w:r w:rsidR="00A4303F" w:rsidRPr="003F5B1F">
        <w:t>e</w:t>
      </w:r>
      <w:r w:rsidR="007D3D7A" w:rsidRPr="003F5B1F">
        <w:t xml:space="preserve"> 5109 </w:t>
      </w:r>
      <w:r w:rsidR="008846F6" w:rsidRPr="003F5B1F">
        <w:t>m</w:t>
      </w:r>
      <w:r w:rsidR="007D3D7A" w:rsidRPr="003F5B1F">
        <w:t>unicípios</w:t>
      </w:r>
      <w:r w:rsidR="00A4303F" w:rsidRPr="003F5B1F">
        <w:t>, aqueles</w:t>
      </w:r>
      <w:r w:rsidR="007D3D7A" w:rsidRPr="003F5B1F">
        <w:t xml:space="preserve"> que </w:t>
      </w:r>
      <w:r w:rsidR="008A0E8D" w:rsidRPr="003F5B1F">
        <w:t>possuíam</w:t>
      </w:r>
      <w:r w:rsidR="007D3D7A" w:rsidRPr="003F5B1F">
        <w:t xml:space="preserve"> informações disponíveis no </w:t>
      </w:r>
      <w:proofErr w:type="spellStart"/>
      <w:r w:rsidR="007D3D7A" w:rsidRPr="003F5B1F">
        <w:t>Siconfi</w:t>
      </w:r>
      <w:proofErr w:type="spellEnd"/>
      <w:r w:rsidR="007D3D7A" w:rsidRPr="003F5B1F">
        <w:t xml:space="preserve"> no dia 01/10/2018, são apresentados. </w:t>
      </w:r>
      <w:r w:rsidR="008846F6" w:rsidRPr="003F5B1F">
        <w:t>Saliente-se, n</w:t>
      </w:r>
      <w:r w:rsidR="007D3D7A" w:rsidRPr="003F5B1F">
        <w:t xml:space="preserve">o entanto, </w:t>
      </w:r>
      <w:r w:rsidR="008846F6" w:rsidRPr="003F5B1F">
        <w:t xml:space="preserve">que </w:t>
      </w:r>
      <w:r w:rsidR="007D3D7A" w:rsidRPr="003F5B1F">
        <w:t xml:space="preserve">esses valores são os declarados pelos próprios </w:t>
      </w:r>
      <w:r w:rsidR="008846F6" w:rsidRPr="003F5B1F">
        <w:t>m</w:t>
      </w:r>
      <w:r w:rsidR="007D3D7A" w:rsidRPr="003F5B1F">
        <w:t>unicípios, sem ajustes do Tesouro Nacional, já que eles não possuem PAF.</w:t>
      </w:r>
    </w:p>
    <w:p w14:paraId="4D69B97A" w14:textId="6BFD4D7E" w:rsidR="00790733" w:rsidRPr="003F5B1F" w:rsidRDefault="00790733" w:rsidP="000B7B0D"/>
    <w:p w14:paraId="6F92C23F" w14:textId="6C32E53E" w:rsidR="00790733" w:rsidRPr="003F5B1F" w:rsidRDefault="00790733" w:rsidP="000B7B0D"/>
    <w:p w14:paraId="77916D30" w14:textId="1B70E033" w:rsidR="00790733" w:rsidRPr="003F5B1F" w:rsidRDefault="00790733" w:rsidP="000B7B0D"/>
    <w:p w14:paraId="5455B395" w14:textId="65D71FCE" w:rsidR="005B2E62" w:rsidRPr="003F5B1F" w:rsidRDefault="005B2E62" w:rsidP="000B7B0D"/>
    <w:p w14:paraId="08EC0B7D" w14:textId="22E568C4" w:rsidR="005B2E62" w:rsidRPr="003F5B1F" w:rsidRDefault="005B2E62" w:rsidP="000B7B0D"/>
    <w:p w14:paraId="55F0E4CB" w14:textId="1586256D" w:rsidR="005B2E62" w:rsidRPr="003F5B1F" w:rsidRDefault="005B2E62" w:rsidP="000B7B0D"/>
    <w:p w14:paraId="56568CBB" w14:textId="77777777" w:rsidR="005B2E62" w:rsidRPr="003F5B1F" w:rsidRDefault="005B2E62" w:rsidP="000B7B0D"/>
    <w:p w14:paraId="7FD3A511" w14:textId="757078A8" w:rsidR="00790733" w:rsidRPr="003F5B1F" w:rsidRDefault="00790733" w:rsidP="000B7B0D"/>
    <w:p w14:paraId="76D1AC0E" w14:textId="64C28BFF" w:rsidR="00790733" w:rsidRPr="003F5B1F" w:rsidRDefault="00790733" w:rsidP="000B7B0D"/>
    <w:p w14:paraId="168199AB" w14:textId="04F0FB68" w:rsidR="00790733" w:rsidRPr="003F5B1F" w:rsidRDefault="00790733" w:rsidP="000B7B0D"/>
    <w:p w14:paraId="2BE986CB" w14:textId="38E4F48F" w:rsidR="00790733" w:rsidRPr="003F5B1F" w:rsidRDefault="00790733" w:rsidP="000B7B0D"/>
    <w:p w14:paraId="1CE35767" w14:textId="7784330B" w:rsidR="00790733" w:rsidRDefault="00790733" w:rsidP="000B7B0D"/>
    <w:p w14:paraId="25A73059" w14:textId="4B958801" w:rsidR="00495A8C" w:rsidRDefault="00495A8C" w:rsidP="000B7B0D"/>
    <w:p w14:paraId="428F6009" w14:textId="116412AA" w:rsidR="00495A8C" w:rsidRDefault="00495A8C" w:rsidP="000B7B0D"/>
    <w:p w14:paraId="472CAB9F" w14:textId="17C0BE84" w:rsidR="00495A8C" w:rsidRDefault="00495A8C" w:rsidP="000B7B0D"/>
    <w:p w14:paraId="585999EE" w14:textId="00732059" w:rsidR="00495A8C" w:rsidRDefault="00495A8C" w:rsidP="000B7B0D"/>
    <w:p w14:paraId="5BACA47D" w14:textId="092F250F" w:rsidR="00495A8C" w:rsidRDefault="00495A8C" w:rsidP="000B7B0D"/>
    <w:p w14:paraId="70AD60A0" w14:textId="4660D276" w:rsidR="00495A8C" w:rsidRDefault="00495A8C" w:rsidP="000B7B0D"/>
    <w:p w14:paraId="0B76C7EC" w14:textId="66E04E0C" w:rsidR="00495A8C" w:rsidRDefault="00495A8C" w:rsidP="000B7B0D"/>
    <w:p w14:paraId="461F0DBB" w14:textId="305EA3F0" w:rsidR="00495A8C" w:rsidRDefault="00495A8C" w:rsidP="000B7B0D"/>
    <w:p w14:paraId="39C40255" w14:textId="2F9A500B" w:rsidR="00495A8C" w:rsidRDefault="00495A8C" w:rsidP="000B7B0D"/>
    <w:p w14:paraId="4DFD95AE" w14:textId="14640C54" w:rsidR="00495A8C" w:rsidRDefault="00495A8C" w:rsidP="000B7B0D"/>
    <w:p w14:paraId="5D39BD5E" w14:textId="0B22AA99" w:rsidR="00495A8C" w:rsidRDefault="00495A8C" w:rsidP="000B7B0D"/>
    <w:p w14:paraId="4BF77531" w14:textId="6F57A8D2" w:rsidR="00495A8C" w:rsidRDefault="00495A8C" w:rsidP="000B7B0D"/>
    <w:p w14:paraId="10F48032" w14:textId="0EE6B40A" w:rsidR="00495A8C" w:rsidRDefault="00495A8C" w:rsidP="000B7B0D"/>
    <w:p w14:paraId="4395AE1D" w14:textId="60455724" w:rsidR="00495A8C" w:rsidRDefault="00495A8C" w:rsidP="000B7B0D"/>
    <w:p w14:paraId="5F2CDA4A" w14:textId="56BF3D65" w:rsidR="00495A8C" w:rsidRDefault="00495A8C" w:rsidP="000B7B0D"/>
    <w:p w14:paraId="01A336D8" w14:textId="6D7BA634" w:rsidR="00495A8C" w:rsidRDefault="00495A8C" w:rsidP="000B7B0D"/>
    <w:p w14:paraId="0CC21428" w14:textId="3075C587" w:rsidR="00305713" w:rsidRDefault="003E4750" w:rsidP="00567554">
      <w:pPr>
        <w:pStyle w:val="Ttulo1"/>
      </w:pPr>
      <w:bookmarkStart w:id="66" w:name="_Toc531811535"/>
      <w:bookmarkStart w:id="67" w:name="_Toc531811566"/>
      <w:bookmarkStart w:id="68" w:name="_Toc531811536"/>
      <w:bookmarkStart w:id="69" w:name="_Toc531811567"/>
      <w:bookmarkStart w:id="70" w:name="_Toc531811537"/>
      <w:bookmarkStart w:id="71" w:name="_Toc531811568"/>
      <w:bookmarkStart w:id="72" w:name="_Toc531811538"/>
      <w:bookmarkStart w:id="73" w:name="_Toc531811569"/>
      <w:bookmarkStart w:id="74" w:name="_Toc531811539"/>
      <w:bookmarkStart w:id="75" w:name="_Toc531811570"/>
      <w:bookmarkStart w:id="76" w:name="_Toc16087708"/>
      <w:bookmarkEnd w:id="66"/>
      <w:bookmarkEnd w:id="67"/>
      <w:bookmarkEnd w:id="68"/>
      <w:bookmarkEnd w:id="69"/>
      <w:bookmarkEnd w:id="70"/>
      <w:bookmarkEnd w:id="71"/>
      <w:bookmarkEnd w:id="72"/>
      <w:bookmarkEnd w:id="73"/>
      <w:bookmarkEnd w:id="74"/>
      <w:bookmarkEnd w:id="75"/>
      <w:r>
        <w:lastRenderedPageBreak/>
        <w:t>4</w:t>
      </w:r>
      <w:r w:rsidR="00613AE2">
        <w:t>.</w:t>
      </w:r>
      <w:r w:rsidR="00DB0651">
        <w:t xml:space="preserve"> </w:t>
      </w:r>
      <w:r w:rsidR="00EE3604" w:rsidRPr="003F5B1F">
        <w:t xml:space="preserve">ANÁLISE DESCRITIVA </w:t>
      </w:r>
      <w:r w:rsidR="00355ECF" w:rsidRPr="003F5B1F">
        <w:t xml:space="preserve">DA EXPOSIÇÃO </w:t>
      </w:r>
      <w:r w:rsidR="00EE3604" w:rsidRPr="003F5B1F">
        <w:t>DAS INFORMAÇÕES DE PESSOAL, DE PREVIDÊNCIA E DE INVESTIMENTO</w:t>
      </w:r>
      <w:r w:rsidR="00355ECF" w:rsidRPr="003F5B1F">
        <w:t xml:space="preserve"> NOS RELATÓRIOS</w:t>
      </w:r>
      <w:bookmarkEnd w:id="76"/>
    </w:p>
    <w:p w14:paraId="312786CA" w14:textId="77777777" w:rsidR="00613AE2" w:rsidRPr="00613AE2" w:rsidRDefault="00613AE2" w:rsidP="00613AE2"/>
    <w:p w14:paraId="5EA7E36B" w14:textId="0CAA2D58" w:rsidR="00227B0B" w:rsidRPr="003F5B1F" w:rsidRDefault="009A18B9" w:rsidP="000B7B0D">
      <w:r w:rsidRPr="003F5B1F">
        <w:t xml:space="preserve">Após o estudo sobre as bases metodológicas que sustentam o RTN, as Estatísticas </w:t>
      </w:r>
      <w:r w:rsidR="00560CAB" w:rsidRPr="003F5B1F">
        <w:t>Fiscais</w:t>
      </w:r>
      <w:r w:rsidRPr="003F5B1F">
        <w:t xml:space="preserve"> Trimestrais e o Boletim dos Entes Subnacionais, e para uma comparação da terminologia usada por cada um, torna-se elucidativo apresentar as rubricas e os números </w:t>
      </w:r>
      <w:r w:rsidR="0019098C" w:rsidRPr="003F5B1F">
        <w:t>acumulados</w:t>
      </w:r>
      <w:r w:rsidRPr="003F5B1F">
        <w:t xml:space="preserve"> para o ano de 2017 para os gastos com pessoal, com previdência e com investimento</w:t>
      </w:r>
      <w:r w:rsidR="00FA465D" w:rsidRPr="003F5B1F">
        <w:t>.</w:t>
      </w:r>
    </w:p>
    <w:p w14:paraId="779A3EC4" w14:textId="1603432B" w:rsidR="00502B15" w:rsidRDefault="00BC6ED4" w:rsidP="000B7B0D">
      <w:r w:rsidRPr="003F5B1F">
        <w:t xml:space="preserve">Para ter uma </w:t>
      </w:r>
      <w:r w:rsidR="003B1819" w:rsidRPr="003F5B1F">
        <w:t>in</w:t>
      </w:r>
      <w:r w:rsidRPr="003F5B1F">
        <w:t xml:space="preserve">formação </w:t>
      </w:r>
      <w:r w:rsidR="003B1819" w:rsidRPr="003F5B1F">
        <w:t>mais desagregada</w:t>
      </w:r>
      <w:r w:rsidR="00B57061" w:rsidRPr="003F5B1F">
        <w:t xml:space="preserve"> e comparável</w:t>
      </w:r>
      <w:r w:rsidR="003B1819" w:rsidRPr="003F5B1F">
        <w:t xml:space="preserve">, </w:t>
      </w:r>
      <w:r w:rsidR="0001506B" w:rsidRPr="003F5B1F">
        <w:t>optou-se por utilizar</w:t>
      </w:r>
      <w:r w:rsidR="003B1819" w:rsidRPr="003F5B1F">
        <w:t xml:space="preserve"> os anexos </w:t>
      </w:r>
      <w:r w:rsidR="0047774B" w:rsidRPr="003F5B1F">
        <w:t xml:space="preserve">do RTN </w:t>
      </w:r>
      <w:r w:rsidR="001C329D" w:rsidRPr="003F5B1F">
        <w:t xml:space="preserve">volume 23, nº 12 (dezembro 2017), </w:t>
      </w:r>
      <w:r w:rsidR="00701AF2" w:rsidRPr="003F5B1F">
        <w:t xml:space="preserve">divulgado em janeiro de 2018; </w:t>
      </w:r>
      <w:r w:rsidR="0047774B" w:rsidRPr="003F5B1F">
        <w:t xml:space="preserve">e </w:t>
      </w:r>
      <w:r w:rsidR="00327DA8" w:rsidRPr="003F5B1F">
        <w:t xml:space="preserve">os anexos </w:t>
      </w:r>
      <w:r w:rsidR="0047774B" w:rsidRPr="003F5B1F">
        <w:t>d</w:t>
      </w:r>
      <w:r w:rsidR="00691FD4" w:rsidRPr="003F5B1F">
        <w:t>o Boletim de</w:t>
      </w:r>
      <w:r w:rsidR="0047774B" w:rsidRPr="003F5B1F">
        <w:t xml:space="preserve"> Estatísticas Fiscais Trimestrais,</w:t>
      </w:r>
      <w:r w:rsidR="00C97CAB" w:rsidRPr="003F5B1F">
        <w:t xml:space="preserve"> publicado em 30</w:t>
      </w:r>
      <w:r w:rsidR="000F5719" w:rsidRPr="003F5B1F">
        <w:t xml:space="preserve"> de março de </w:t>
      </w:r>
      <w:r w:rsidR="00C97CAB" w:rsidRPr="003F5B1F">
        <w:t>2018,</w:t>
      </w:r>
      <w:r w:rsidR="0047774B" w:rsidRPr="003F5B1F">
        <w:t xml:space="preserve"> devido ao maior detalhamento </w:t>
      </w:r>
      <w:r w:rsidR="0001506B" w:rsidRPr="003F5B1F">
        <w:t>em relação ao</w:t>
      </w:r>
      <w:r w:rsidR="00436206" w:rsidRPr="003F5B1F">
        <w:t>s</w:t>
      </w:r>
      <w:r w:rsidR="0001506B" w:rsidRPr="003F5B1F">
        <w:t xml:space="preserve"> </w:t>
      </w:r>
      <w:r w:rsidR="00CF2996" w:rsidRPr="003F5B1F">
        <w:t>documento</w:t>
      </w:r>
      <w:r w:rsidR="00436206" w:rsidRPr="003F5B1F">
        <w:t>s</w:t>
      </w:r>
      <w:r w:rsidR="0001506B" w:rsidRPr="003F5B1F">
        <w:t xml:space="preserve"> </w:t>
      </w:r>
      <w:r w:rsidR="007514F9" w:rsidRPr="003F5B1F">
        <w:t>principa</w:t>
      </w:r>
      <w:r w:rsidR="00436206" w:rsidRPr="003F5B1F">
        <w:t>is</w:t>
      </w:r>
      <w:r w:rsidR="007514F9" w:rsidRPr="003F5B1F">
        <w:t xml:space="preserve">, </w:t>
      </w:r>
      <w:r w:rsidR="00007F11" w:rsidRPr="003F5B1F">
        <w:t>cujos</w:t>
      </w:r>
      <w:r w:rsidR="007514F9" w:rsidRPr="003F5B1F">
        <w:t xml:space="preserve"> dados</w:t>
      </w:r>
      <w:r w:rsidR="00007F11" w:rsidRPr="003F5B1F">
        <w:t xml:space="preserve"> são sumarizados</w:t>
      </w:r>
      <w:r w:rsidR="007514F9" w:rsidRPr="003F5B1F">
        <w:t xml:space="preserve">. </w:t>
      </w:r>
      <w:r w:rsidR="00A243F9" w:rsidRPr="003F5B1F">
        <w:t>Diferentemente</w:t>
      </w:r>
      <w:r w:rsidR="00436206" w:rsidRPr="003F5B1F">
        <w:t xml:space="preserve"> deles</w:t>
      </w:r>
      <w:r w:rsidR="00A243F9" w:rsidRPr="003F5B1F">
        <w:t>, o</w:t>
      </w:r>
      <w:r w:rsidR="00583D06" w:rsidRPr="003F5B1F">
        <w:t xml:space="preserve"> Boletim dos Entes Subnacionais não traz anex</w:t>
      </w:r>
      <w:r w:rsidR="00A243F9" w:rsidRPr="003F5B1F">
        <w:t>os</w:t>
      </w:r>
      <w:r w:rsidR="00725CD0" w:rsidRPr="003F5B1F">
        <w:t xml:space="preserve">, sendo </w:t>
      </w:r>
      <w:r w:rsidR="00FA2CBE">
        <w:t xml:space="preserve">o próprio documento </w:t>
      </w:r>
      <w:r w:rsidR="00725CD0" w:rsidRPr="003F5B1F">
        <w:t xml:space="preserve">a única fonte disponível para </w:t>
      </w:r>
      <w:r w:rsidR="00C13B31" w:rsidRPr="003F5B1F">
        <w:t xml:space="preserve">se conferir </w:t>
      </w:r>
      <w:r w:rsidR="00725CD0" w:rsidRPr="003F5B1F">
        <w:t>seus dados.</w:t>
      </w:r>
      <w:r w:rsidR="0001506B" w:rsidRPr="003F5B1F">
        <w:t xml:space="preserve"> </w:t>
      </w:r>
      <w:r w:rsidR="003B1819" w:rsidRPr="003F5B1F">
        <w:t xml:space="preserve"> </w:t>
      </w:r>
    </w:p>
    <w:p w14:paraId="1CE5FCB2" w14:textId="77777777" w:rsidR="00613AE2" w:rsidRPr="003F5B1F" w:rsidRDefault="00613AE2" w:rsidP="000B7B0D"/>
    <w:p w14:paraId="6F9729A9" w14:textId="53F38812" w:rsidR="002F6CEE" w:rsidRDefault="003E4750" w:rsidP="00B46FAA">
      <w:pPr>
        <w:pStyle w:val="Ttulo2"/>
      </w:pPr>
      <w:bookmarkStart w:id="77" w:name="_Toc16087709"/>
      <w:r>
        <w:t>4</w:t>
      </w:r>
      <w:r w:rsidR="00A616D9" w:rsidRPr="009215BC">
        <w:t>.1</w:t>
      </w:r>
      <w:r w:rsidR="00613AE2">
        <w:t>.</w:t>
      </w:r>
      <w:r w:rsidR="00A616D9" w:rsidRPr="009215BC">
        <w:t xml:space="preserve"> </w:t>
      </w:r>
      <w:r w:rsidR="002F6CEE" w:rsidRPr="009215BC">
        <w:t>Gasto com Pessoal</w:t>
      </w:r>
      <w:bookmarkEnd w:id="77"/>
    </w:p>
    <w:p w14:paraId="40B8090F" w14:textId="77777777" w:rsidR="00613AE2" w:rsidRPr="00613AE2" w:rsidRDefault="00613AE2" w:rsidP="00613AE2"/>
    <w:p w14:paraId="23045ECB" w14:textId="09DF6C42" w:rsidR="006369D1" w:rsidRPr="003F5B1F" w:rsidRDefault="006334B9" w:rsidP="000B7B0D">
      <w:r w:rsidRPr="003F5B1F">
        <w:t>E</w:t>
      </w:r>
      <w:r w:rsidR="006F0D13" w:rsidRPr="003F5B1F">
        <w:t>m se tratando do gasto com pessoal</w:t>
      </w:r>
      <w:r w:rsidR="005A1296" w:rsidRPr="003F5B1F">
        <w:t xml:space="preserve"> no âmbito</w:t>
      </w:r>
      <w:r w:rsidR="006F0D13" w:rsidRPr="003F5B1F">
        <w:t xml:space="preserve"> federal, </w:t>
      </w:r>
      <w:r w:rsidR="0046433E" w:rsidRPr="003F5B1F">
        <w:t xml:space="preserve">o </w:t>
      </w:r>
      <w:r w:rsidR="006F0D13" w:rsidRPr="003F5B1F">
        <w:t xml:space="preserve">RTN traz a denominação “Pessoal e Encargos Sociais” </w:t>
      </w:r>
      <w:r w:rsidR="00754FC8" w:rsidRPr="003F5B1F">
        <w:t>no valor próximo a</w:t>
      </w:r>
      <w:r w:rsidR="006F0D13" w:rsidRPr="003F5B1F">
        <w:t xml:space="preserve"> R$ 28</w:t>
      </w:r>
      <w:r w:rsidR="0042036F" w:rsidRPr="003F5B1F">
        <w:t>4</w:t>
      </w:r>
      <w:r w:rsidR="006F0D13" w:rsidRPr="003F5B1F">
        <w:t xml:space="preserve"> bilhões</w:t>
      </w:r>
      <w:r w:rsidR="00610517" w:rsidRPr="003F5B1F">
        <w:t>, conforme ilustrado na figura 9.</w:t>
      </w:r>
      <w:r w:rsidR="006F0D13" w:rsidRPr="003F5B1F">
        <w:t xml:space="preserve"> </w:t>
      </w:r>
      <w:r w:rsidR="00162F41" w:rsidRPr="003F5B1F">
        <w:t>Já o</w:t>
      </w:r>
      <w:r w:rsidR="00586189" w:rsidRPr="003F5B1F">
        <w:t xml:space="preserve"> demonstrativo</w:t>
      </w:r>
      <w:r w:rsidR="00F71B31" w:rsidRPr="003F5B1F">
        <w:t xml:space="preserve"> da despesa do governo geral (D</w:t>
      </w:r>
      <w:r w:rsidR="00220F82" w:rsidRPr="003F5B1F">
        <w:t>D</w:t>
      </w:r>
      <w:r w:rsidR="00F71B31" w:rsidRPr="003F5B1F">
        <w:t>GG)</w:t>
      </w:r>
      <w:r w:rsidR="00CA3399" w:rsidRPr="003F5B1F">
        <w:t>,</w:t>
      </w:r>
      <w:r w:rsidR="00F71B31" w:rsidRPr="003F5B1F">
        <w:t xml:space="preserve"> </w:t>
      </w:r>
      <w:r w:rsidR="00CA3399" w:rsidRPr="003F5B1F">
        <w:t xml:space="preserve">integrante </w:t>
      </w:r>
      <w:r w:rsidR="00224092" w:rsidRPr="003F5B1F">
        <w:t>do</w:t>
      </w:r>
      <w:r w:rsidR="000700A6" w:rsidRPr="003F5B1F">
        <w:t xml:space="preserve"> boletim</w:t>
      </w:r>
      <w:r w:rsidR="00F94BE6" w:rsidRPr="003F5B1F">
        <w:t xml:space="preserve"> de</w:t>
      </w:r>
      <w:r w:rsidR="005A1296" w:rsidRPr="003F5B1F">
        <w:t xml:space="preserve"> Estatística </w:t>
      </w:r>
      <w:r w:rsidR="00CF1EDB" w:rsidRPr="003F5B1F">
        <w:t>Fiscais</w:t>
      </w:r>
      <w:r w:rsidR="005A1296" w:rsidRPr="003F5B1F">
        <w:t xml:space="preserve"> Trimestrais</w:t>
      </w:r>
      <w:r w:rsidR="00F94BE6" w:rsidRPr="003F5B1F">
        <w:t xml:space="preserve">, </w:t>
      </w:r>
      <w:r w:rsidR="005A1296" w:rsidRPr="003F5B1F">
        <w:t xml:space="preserve">traz a denominação “Remuneração de Empregados” </w:t>
      </w:r>
      <w:r w:rsidR="00895702" w:rsidRPr="003F5B1F">
        <w:t>com a soma ao redor</w:t>
      </w:r>
      <w:r w:rsidR="005A1296" w:rsidRPr="003F5B1F">
        <w:t xml:space="preserve"> </w:t>
      </w:r>
      <w:r w:rsidR="00895702" w:rsidRPr="003F5B1F">
        <w:t>de</w:t>
      </w:r>
      <w:r w:rsidR="005A1296" w:rsidRPr="003F5B1F">
        <w:t xml:space="preserve"> R$ 2</w:t>
      </w:r>
      <w:r w:rsidR="004C6549" w:rsidRPr="003F5B1F">
        <w:t>7</w:t>
      </w:r>
      <w:r w:rsidR="008519BA" w:rsidRPr="003F5B1F">
        <w:t>7</w:t>
      </w:r>
      <w:r w:rsidR="005A1296" w:rsidRPr="003F5B1F">
        <w:t xml:space="preserve"> bilhões</w:t>
      </w:r>
      <w:r w:rsidR="00D970D5" w:rsidRPr="003F5B1F">
        <w:t>, como se observa na figura 10</w:t>
      </w:r>
      <w:r w:rsidR="005A1296" w:rsidRPr="003F5B1F">
        <w:t xml:space="preserve">. </w:t>
      </w:r>
    </w:p>
    <w:p w14:paraId="30E0EB5F" w14:textId="329845A3" w:rsidR="002E7F3B" w:rsidRPr="003F5B1F" w:rsidRDefault="002E7F3B" w:rsidP="000B7B0D">
      <w:r w:rsidRPr="003F5B1F">
        <w:t>Mesmo com a</w:t>
      </w:r>
      <w:r w:rsidR="000E745D" w:rsidRPr="003F5B1F">
        <w:t xml:space="preserve"> </w:t>
      </w:r>
      <w:r w:rsidRPr="003F5B1F">
        <w:t>aparente</w:t>
      </w:r>
      <w:r w:rsidR="000E745D" w:rsidRPr="003F5B1F">
        <w:t xml:space="preserve"> proximidade dos números, a composição das rubricas </w:t>
      </w:r>
      <w:r w:rsidRPr="003F5B1F">
        <w:t xml:space="preserve">apresenta um </w:t>
      </w:r>
      <w:r w:rsidR="00082410" w:rsidRPr="003F5B1F">
        <w:t xml:space="preserve">importante </w:t>
      </w:r>
      <w:r w:rsidRPr="003F5B1F">
        <w:t xml:space="preserve">elemento em comum, o gasto com pessoal ativo, e diversos outras contas que o diferenciam. O total do </w:t>
      </w:r>
      <w:r w:rsidR="00F05D84" w:rsidRPr="003F5B1F">
        <w:t>D</w:t>
      </w:r>
      <w:r w:rsidRPr="003F5B1F">
        <w:t>DGG se resume apenas ao valor de pessoal ati</w:t>
      </w:r>
      <w:r w:rsidR="006116FD" w:rsidRPr="003F5B1F">
        <w:t xml:space="preserve">vo, enquanto o RTN </w:t>
      </w:r>
      <w:r w:rsidR="003F5528">
        <w:t>aglutina</w:t>
      </w:r>
      <w:r w:rsidRPr="003F5B1F">
        <w:t xml:space="preserve"> o valor dos benefícios pagos pelo R</w:t>
      </w:r>
      <w:r w:rsidR="00FE6E2A" w:rsidRPr="003F5B1F">
        <w:t xml:space="preserve">egime </w:t>
      </w:r>
      <w:r w:rsidRPr="003F5B1F">
        <w:t>P</w:t>
      </w:r>
      <w:r w:rsidR="00FE6E2A" w:rsidRPr="003F5B1F">
        <w:t xml:space="preserve">róprio de </w:t>
      </w:r>
      <w:r w:rsidRPr="003F5B1F">
        <w:t>P</w:t>
      </w:r>
      <w:r w:rsidR="00FE6E2A" w:rsidRPr="003F5B1F">
        <w:t xml:space="preserve">revidência </w:t>
      </w:r>
      <w:r w:rsidRPr="003F5B1F">
        <w:t>S</w:t>
      </w:r>
      <w:r w:rsidR="00FE6E2A" w:rsidRPr="003F5B1F">
        <w:t xml:space="preserve">ocial </w:t>
      </w:r>
      <w:r w:rsidR="00384D50" w:rsidRPr="003F5B1F">
        <w:t>(</w:t>
      </w:r>
      <w:r w:rsidR="00FE6E2A" w:rsidRPr="003F5B1F">
        <w:t>RPPS</w:t>
      </w:r>
      <w:r w:rsidR="00384D50" w:rsidRPr="003F5B1F">
        <w:t>)</w:t>
      </w:r>
      <w:r w:rsidR="00674013" w:rsidRPr="003F5B1F">
        <w:t>,</w:t>
      </w:r>
      <w:r w:rsidR="006116FD" w:rsidRPr="003F5B1F">
        <w:t xml:space="preserve"> de caráter previdenciário</w:t>
      </w:r>
      <w:r w:rsidR="00384D50" w:rsidRPr="003F5B1F">
        <w:t>,</w:t>
      </w:r>
      <w:r w:rsidR="00082410" w:rsidRPr="003F5B1F">
        <w:t xml:space="preserve"> a essa rubrica</w:t>
      </w:r>
      <w:r w:rsidRPr="003F5B1F">
        <w:t xml:space="preserve">, </w:t>
      </w:r>
      <w:r w:rsidR="006116FD" w:rsidRPr="003F5B1F">
        <w:t xml:space="preserve">e acrescenta </w:t>
      </w:r>
      <w:r w:rsidRPr="003F5B1F">
        <w:t xml:space="preserve">os gastos </w:t>
      </w:r>
      <w:r w:rsidR="006116FD" w:rsidRPr="003F5B1F">
        <w:t xml:space="preserve">de pessoal </w:t>
      </w:r>
      <w:r w:rsidRPr="003F5B1F">
        <w:t xml:space="preserve">do Banco Central do Brasil e </w:t>
      </w:r>
      <w:r w:rsidR="006116FD" w:rsidRPr="003F5B1F">
        <w:t xml:space="preserve">os efetuados </w:t>
      </w:r>
      <w:r w:rsidR="00D55C64" w:rsidRPr="003F5B1F">
        <w:t>a</w:t>
      </w:r>
      <w:r w:rsidRPr="003F5B1F">
        <w:t xml:space="preserve"> título do Fundo Constitucional do D</w:t>
      </w:r>
      <w:r w:rsidR="006116FD" w:rsidRPr="003F5B1F">
        <w:t xml:space="preserve">istrito </w:t>
      </w:r>
      <w:r w:rsidRPr="003F5B1F">
        <w:t>F</w:t>
      </w:r>
      <w:r w:rsidR="006116FD" w:rsidRPr="003F5B1F">
        <w:t>ederal</w:t>
      </w:r>
      <w:r w:rsidRPr="003F5B1F">
        <w:t xml:space="preserve"> (FCDF). </w:t>
      </w:r>
    </w:p>
    <w:p w14:paraId="73E0EA9A" w14:textId="1694FAE0" w:rsidR="00613AE2" w:rsidRDefault="00613AE2" w:rsidP="000B7B0D">
      <w:pPr>
        <w:rPr>
          <w:noProof/>
        </w:rPr>
      </w:pPr>
    </w:p>
    <w:p w14:paraId="1C2A3A46" w14:textId="77777777" w:rsidR="00A17F6B" w:rsidRDefault="00A17F6B" w:rsidP="00613AE2">
      <w:pPr>
        <w:jc w:val="center"/>
        <w:rPr>
          <w:b/>
        </w:rPr>
      </w:pPr>
    </w:p>
    <w:p w14:paraId="75F19637" w14:textId="77777777" w:rsidR="00A17F6B" w:rsidRDefault="00A17F6B" w:rsidP="00613AE2">
      <w:pPr>
        <w:jc w:val="center"/>
        <w:rPr>
          <w:b/>
        </w:rPr>
      </w:pPr>
    </w:p>
    <w:p w14:paraId="7730227B" w14:textId="77777777" w:rsidR="00A17F6B" w:rsidRDefault="00A17F6B" w:rsidP="00613AE2">
      <w:pPr>
        <w:jc w:val="center"/>
        <w:rPr>
          <w:b/>
        </w:rPr>
      </w:pPr>
    </w:p>
    <w:p w14:paraId="2ACADA05" w14:textId="77777777" w:rsidR="005B1B96" w:rsidRDefault="005B1B96" w:rsidP="00A17F6B">
      <w:pPr>
        <w:jc w:val="center"/>
        <w:rPr>
          <w:b/>
        </w:rPr>
      </w:pPr>
    </w:p>
    <w:p w14:paraId="6C6930A0" w14:textId="662B6B93" w:rsidR="00613AE2" w:rsidRPr="00A17F6B" w:rsidRDefault="00613AE2" w:rsidP="00A17F6B">
      <w:pPr>
        <w:jc w:val="center"/>
        <w:rPr>
          <w:b/>
        </w:rPr>
      </w:pPr>
      <w:r w:rsidRPr="00613AE2">
        <w:rPr>
          <w:b/>
        </w:rPr>
        <w:lastRenderedPageBreak/>
        <w:t>Figura 9</w:t>
      </w:r>
      <w:r>
        <w:rPr>
          <w:b/>
        </w:rPr>
        <w:t xml:space="preserve"> –</w:t>
      </w:r>
      <w:r w:rsidRPr="00613AE2">
        <w:rPr>
          <w:b/>
        </w:rPr>
        <w:t xml:space="preserve"> Trecho do anexo do RTN com as despesas acumuladas de 2017</w:t>
      </w:r>
    </w:p>
    <w:p w14:paraId="59CA15EE" w14:textId="56EA4188" w:rsidR="0020570A" w:rsidRPr="003F5B1F" w:rsidRDefault="00FF5A04" w:rsidP="005B1B96">
      <w:pPr>
        <w:jc w:val="center"/>
      </w:pPr>
      <w:r w:rsidRPr="003F5B1F">
        <w:rPr>
          <w:noProof/>
        </w:rPr>
        <w:drawing>
          <wp:inline distT="0" distB="0" distL="0" distR="0" wp14:anchorId="4B9B1EBA" wp14:editId="383DE1CB">
            <wp:extent cx="5267325" cy="1793240"/>
            <wp:effectExtent l="19050" t="19050" r="28575" b="165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67325" cy="1793240"/>
                    </a:xfrm>
                    <a:prstGeom prst="rect">
                      <a:avLst/>
                    </a:prstGeom>
                    <a:ln w="12700">
                      <a:solidFill>
                        <a:schemeClr val="bg2">
                          <a:lumMod val="90000"/>
                        </a:schemeClr>
                      </a:solidFill>
                    </a:ln>
                  </pic:spPr>
                </pic:pic>
              </a:graphicData>
            </a:graphic>
          </wp:inline>
        </w:drawing>
      </w:r>
    </w:p>
    <w:p w14:paraId="41EA6370" w14:textId="57F5890B" w:rsidR="005B1B96" w:rsidRDefault="005B1B96" w:rsidP="005B1B96">
      <w:pPr>
        <w:jc w:val="left"/>
      </w:pPr>
      <w:r w:rsidRPr="005B1B96">
        <w:rPr>
          <w:rStyle w:val="SubttuloChar"/>
        </w:rPr>
        <w:t>Fonte: Secretaria do Tesouro Nacional</w:t>
      </w:r>
      <w:r w:rsidRPr="003F5B1F">
        <w:t xml:space="preserve"> </w:t>
      </w:r>
    </w:p>
    <w:p w14:paraId="01973E2C" w14:textId="2238C2ED" w:rsidR="005B1B96" w:rsidRDefault="005B1B96" w:rsidP="005B1B96">
      <w:pPr>
        <w:jc w:val="left"/>
      </w:pPr>
    </w:p>
    <w:p w14:paraId="769AC6A0" w14:textId="70D75EB1" w:rsidR="005B1B96" w:rsidRDefault="005B1B96" w:rsidP="00194615">
      <w:pPr>
        <w:jc w:val="center"/>
      </w:pPr>
      <w:r w:rsidRPr="00194615">
        <w:rPr>
          <w:b/>
        </w:rPr>
        <w:t>Figura 10 – Trecho do anexo do DDGG do Governo Central Consolidado, por trimestre, no ano de 2017</w:t>
      </w:r>
    </w:p>
    <w:p w14:paraId="0F7CF6FE" w14:textId="11CB5E39" w:rsidR="009074BB" w:rsidRPr="003F5B1F" w:rsidRDefault="005D1E45" w:rsidP="00194615">
      <w:pPr>
        <w:jc w:val="center"/>
      </w:pPr>
      <w:r w:rsidRPr="003F5B1F">
        <w:rPr>
          <w:noProof/>
        </w:rPr>
        <w:drawing>
          <wp:inline distT="0" distB="0" distL="0" distR="0" wp14:anchorId="18972E97" wp14:editId="79FEA930">
            <wp:extent cx="5219700" cy="2110105"/>
            <wp:effectExtent l="19050" t="19050" r="19050" b="2349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19700" cy="2110105"/>
                    </a:xfrm>
                    <a:prstGeom prst="rect">
                      <a:avLst/>
                    </a:prstGeom>
                    <a:ln w="12700">
                      <a:solidFill>
                        <a:schemeClr val="bg2">
                          <a:lumMod val="90000"/>
                        </a:schemeClr>
                      </a:solidFill>
                    </a:ln>
                  </pic:spPr>
                </pic:pic>
              </a:graphicData>
            </a:graphic>
          </wp:inline>
        </w:drawing>
      </w:r>
    </w:p>
    <w:p w14:paraId="2D6494EF" w14:textId="77777777" w:rsidR="00194615" w:rsidRDefault="00194615" w:rsidP="00194615">
      <w:pPr>
        <w:jc w:val="left"/>
      </w:pPr>
      <w:r w:rsidRPr="005B1B96">
        <w:rPr>
          <w:rStyle w:val="SubttuloChar"/>
        </w:rPr>
        <w:t>Fonte: Secretaria do Tesouro Nacional</w:t>
      </w:r>
      <w:r w:rsidRPr="003F5B1F">
        <w:t xml:space="preserve"> </w:t>
      </w:r>
    </w:p>
    <w:p w14:paraId="0404BBB0" w14:textId="77777777" w:rsidR="00194615" w:rsidRDefault="00194615" w:rsidP="000B7B0D"/>
    <w:p w14:paraId="4C2ED929" w14:textId="0E8F746A" w:rsidR="00C45470" w:rsidRDefault="001355E2" w:rsidP="000B7B0D">
      <w:r w:rsidRPr="003F5B1F">
        <w:t xml:space="preserve">Na esfera estadual, o Boletim dos Entes Subnacionais elenca o “Gasto com Pessoal” dos estados da federação brasileira </w:t>
      </w:r>
      <w:r w:rsidR="00077EB5" w:rsidRPr="003F5B1F">
        <w:t>(</w:t>
      </w:r>
      <w:r w:rsidR="003D67CB" w:rsidRPr="003F5B1F">
        <w:t>figura 1</w:t>
      </w:r>
      <w:r w:rsidR="00246862" w:rsidRPr="003F5B1F">
        <w:t>2</w:t>
      </w:r>
      <w:r w:rsidR="003D67CB" w:rsidRPr="003F5B1F">
        <w:t xml:space="preserve">) </w:t>
      </w:r>
      <w:r w:rsidRPr="003F5B1F">
        <w:t xml:space="preserve">no montante </w:t>
      </w:r>
      <w:r w:rsidR="00620A3E" w:rsidRPr="003F5B1F">
        <w:t>ao redor</w:t>
      </w:r>
      <w:r w:rsidRPr="003F5B1F">
        <w:t xml:space="preserve"> de R$ 442 bilhões. Já a “Remuneração de Empregados” do D</w:t>
      </w:r>
      <w:r w:rsidR="00087D31">
        <w:t>D</w:t>
      </w:r>
      <w:r w:rsidRPr="003F5B1F">
        <w:t xml:space="preserve">GG apresenta </w:t>
      </w:r>
      <w:r w:rsidR="00C72172" w:rsidRPr="003F5B1F">
        <w:t>uma quantia pouc</w:t>
      </w:r>
      <w:r w:rsidR="009149AA" w:rsidRPr="003F5B1F">
        <w:t xml:space="preserve">o superior a </w:t>
      </w:r>
      <w:r w:rsidRPr="003F5B1F">
        <w:t>R$ 313 bilhões</w:t>
      </w:r>
      <w:r w:rsidR="00246862" w:rsidRPr="003F5B1F">
        <w:t xml:space="preserve"> (figura 11)</w:t>
      </w:r>
      <w:r w:rsidRPr="003F5B1F">
        <w:t xml:space="preserve">. </w:t>
      </w:r>
      <w:r w:rsidR="00083776" w:rsidRPr="003F5B1F">
        <w:t>Aqui, o conceito de “Gasto com Pessoal” está atrelado ao conceito legal estabelecido pela LRF, que</w:t>
      </w:r>
      <w:r w:rsidR="00D379C8" w:rsidRPr="003F5B1F">
        <w:t xml:space="preserve"> envolve, além do</w:t>
      </w:r>
      <w:r w:rsidR="00083776" w:rsidRPr="003F5B1F">
        <w:t xml:space="preserve"> pessoal ativo, o valor pago aos inativos não cobertos pelo fundo previdenciário e outras deduções estabelecidas pelo art.</w:t>
      </w:r>
      <w:r w:rsidR="00D379C8" w:rsidRPr="003F5B1F">
        <w:t xml:space="preserve"> 19, § 1º da lei. </w:t>
      </w:r>
      <w:r w:rsidR="003E2CE0" w:rsidRPr="003F5B1F">
        <w:t xml:space="preserve">Percebe-se, portanto, </w:t>
      </w:r>
      <w:r w:rsidR="00D379C8" w:rsidRPr="003F5B1F">
        <w:t>a baixa correlação entre as informações apresentadas, ap</w:t>
      </w:r>
      <w:r w:rsidR="003E2CE0" w:rsidRPr="003F5B1F">
        <w:t>esar da semântica das</w:t>
      </w:r>
      <w:r w:rsidR="00D379C8" w:rsidRPr="003F5B1F">
        <w:t xml:space="preserve"> denominações ensejarem </w:t>
      </w:r>
      <w:r w:rsidR="003E2CE0" w:rsidRPr="003F5B1F">
        <w:t xml:space="preserve">a </w:t>
      </w:r>
      <w:r w:rsidR="00D379C8" w:rsidRPr="003F5B1F">
        <w:t xml:space="preserve">uma aparente proximidade conceitual. </w:t>
      </w:r>
    </w:p>
    <w:p w14:paraId="7F9702E0" w14:textId="77777777" w:rsidR="002739A6" w:rsidRDefault="002739A6" w:rsidP="002739A6">
      <w:pPr>
        <w:jc w:val="center"/>
        <w:rPr>
          <w:b/>
        </w:rPr>
      </w:pPr>
    </w:p>
    <w:p w14:paraId="0AFD7158" w14:textId="77777777" w:rsidR="002739A6" w:rsidRDefault="002739A6" w:rsidP="002739A6">
      <w:pPr>
        <w:jc w:val="center"/>
        <w:rPr>
          <w:b/>
        </w:rPr>
      </w:pPr>
    </w:p>
    <w:p w14:paraId="6CB7A8F4" w14:textId="7DAE6652" w:rsidR="002739A6" w:rsidRPr="002739A6" w:rsidRDefault="002739A6" w:rsidP="002739A6">
      <w:pPr>
        <w:jc w:val="center"/>
        <w:rPr>
          <w:b/>
        </w:rPr>
      </w:pPr>
      <w:r w:rsidRPr="002739A6">
        <w:rPr>
          <w:b/>
        </w:rPr>
        <w:lastRenderedPageBreak/>
        <w:t>Figura 11 – Trecho do anexo do DDGG dos Governos Estaduais, por trimestre, no ano de 2017</w:t>
      </w:r>
    </w:p>
    <w:p w14:paraId="3088EF4B" w14:textId="1C29DD46" w:rsidR="00F72B21" w:rsidRPr="003F5B1F" w:rsidRDefault="00A11C35" w:rsidP="002739A6">
      <w:pPr>
        <w:jc w:val="center"/>
      </w:pPr>
      <w:r w:rsidRPr="003F5B1F">
        <w:rPr>
          <w:noProof/>
        </w:rPr>
        <w:drawing>
          <wp:inline distT="0" distB="0" distL="0" distR="0" wp14:anchorId="0D1A8380" wp14:editId="2E1F105A">
            <wp:extent cx="5257800" cy="1981200"/>
            <wp:effectExtent l="19050" t="19050" r="19050" b="1905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57800" cy="1981200"/>
                    </a:xfrm>
                    <a:prstGeom prst="rect">
                      <a:avLst/>
                    </a:prstGeom>
                    <a:ln w="12700">
                      <a:solidFill>
                        <a:schemeClr val="bg2">
                          <a:lumMod val="90000"/>
                        </a:schemeClr>
                      </a:solidFill>
                    </a:ln>
                  </pic:spPr>
                </pic:pic>
              </a:graphicData>
            </a:graphic>
          </wp:inline>
        </w:drawing>
      </w:r>
    </w:p>
    <w:p w14:paraId="1844EA63" w14:textId="26E09602" w:rsidR="002739A6" w:rsidRDefault="002739A6" w:rsidP="002739A6">
      <w:pPr>
        <w:jc w:val="left"/>
      </w:pPr>
      <w:r w:rsidRPr="005B1B96">
        <w:rPr>
          <w:rStyle w:val="SubttuloChar"/>
        </w:rPr>
        <w:t>Fonte: Secretaria do Tesouro Nacional</w:t>
      </w:r>
      <w:r w:rsidRPr="003F5B1F">
        <w:t xml:space="preserve"> </w:t>
      </w:r>
    </w:p>
    <w:p w14:paraId="10E78D7E" w14:textId="10AB6967" w:rsidR="002739A6" w:rsidRDefault="002739A6" w:rsidP="002739A6">
      <w:pPr>
        <w:jc w:val="left"/>
      </w:pPr>
    </w:p>
    <w:p w14:paraId="19C4E26E" w14:textId="4604370C" w:rsidR="002739A6" w:rsidRPr="002739A6" w:rsidRDefault="002739A6" w:rsidP="002739A6">
      <w:pPr>
        <w:jc w:val="center"/>
        <w:rPr>
          <w:b/>
        </w:rPr>
      </w:pPr>
      <w:r w:rsidRPr="002739A6">
        <w:rPr>
          <w:b/>
        </w:rPr>
        <w:t>Figura 12</w:t>
      </w:r>
      <w:r>
        <w:rPr>
          <w:b/>
        </w:rPr>
        <w:t xml:space="preserve"> –</w:t>
      </w:r>
      <w:r w:rsidRPr="002739A6">
        <w:rPr>
          <w:b/>
        </w:rPr>
        <w:t xml:space="preserve"> Gasto com pessoal por estado, em relação ao exercício de 2017, no Boletim dos Entes Subnacionais</w:t>
      </w:r>
    </w:p>
    <w:p w14:paraId="434790FA" w14:textId="0357F3E9" w:rsidR="00440210" w:rsidRPr="003F5B1F" w:rsidRDefault="00440210" w:rsidP="0007499E">
      <w:pPr>
        <w:jc w:val="center"/>
      </w:pPr>
      <w:r w:rsidRPr="003F5B1F">
        <w:rPr>
          <w:noProof/>
        </w:rPr>
        <w:drawing>
          <wp:inline distT="0" distB="0" distL="0" distR="0" wp14:anchorId="71500598" wp14:editId="3618C670">
            <wp:extent cx="4019550" cy="4924425"/>
            <wp:effectExtent l="19050" t="19050" r="19050" b="2857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9550" cy="4924425"/>
                    </a:xfrm>
                    <a:prstGeom prst="rect">
                      <a:avLst/>
                    </a:prstGeom>
                    <a:ln w="12700">
                      <a:solidFill>
                        <a:schemeClr val="bg2">
                          <a:lumMod val="90000"/>
                        </a:schemeClr>
                      </a:solidFill>
                    </a:ln>
                  </pic:spPr>
                </pic:pic>
              </a:graphicData>
            </a:graphic>
          </wp:inline>
        </w:drawing>
      </w:r>
    </w:p>
    <w:p w14:paraId="4E820DDB" w14:textId="5EF9828B" w:rsidR="0007499E" w:rsidRDefault="0007499E" w:rsidP="0007499E">
      <w:pPr>
        <w:jc w:val="left"/>
      </w:pPr>
      <w:r>
        <w:rPr>
          <w:rStyle w:val="SubttuloChar"/>
        </w:rPr>
        <w:tab/>
        <w:t xml:space="preserve">       </w:t>
      </w:r>
      <w:r w:rsidRPr="005B1B96">
        <w:rPr>
          <w:rStyle w:val="SubttuloChar"/>
        </w:rPr>
        <w:t>Fonte: Secretaria do Tesouro Nacional</w:t>
      </w:r>
      <w:r w:rsidRPr="003F5B1F">
        <w:t xml:space="preserve"> </w:t>
      </w:r>
    </w:p>
    <w:p w14:paraId="53CC1F88" w14:textId="43BD67EA" w:rsidR="006F0D13" w:rsidRDefault="00BB56FE" w:rsidP="000B7B0D">
      <w:r w:rsidRPr="003F5B1F">
        <w:lastRenderedPageBreak/>
        <w:t xml:space="preserve">Em relação aos municípios, </w:t>
      </w:r>
      <w:r w:rsidR="006116FD" w:rsidRPr="003F5B1F">
        <w:t xml:space="preserve">o Boletim </w:t>
      </w:r>
      <w:r w:rsidR="005A42F0" w:rsidRPr="003F5B1F">
        <w:t xml:space="preserve">usa a </w:t>
      </w:r>
      <w:r w:rsidR="000D2D26" w:rsidRPr="003F5B1F">
        <w:t>nomen</w:t>
      </w:r>
      <w:r w:rsidR="005A42F0" w:rsidRPr="003F5B1F">
        <w:t>clatura “Pessoal Ativo”</w:t>
      </w:r>
      <w:r w:rsidR="00976F3C" w:rsidRPr="003F5B1F">
        <w:t>,</w:t>
      </w:r>
      <w:r w:rsidR="00C45470" w:rsidRPr="003F5B1F">
        <w:t xml:space="preserve"> </w:t>
      </w:r>
      <w:r w:rsidR="00976F3C" w:rsidRPr="003F5B1F">
        <w:t>cujo valor</w:t>
      </w:r>
      <w:r w:rsidR="00664C0C" w:rsidRPr="003F5B1F">
        <w:t xml:space="preserve"> </w:t>
      </w:r>
      <w:r w:rsidR="00976F3C" w:rsidRPr="003F5B1F">
        <w:t>de</w:t>
      </w:r>
      <w:r w:rsidR="000D2D26" w:rsidRPr="003F5B1F">
        <w:t xml:space="preserve"> empenh</w:t>
      </w:r>
      <w:r w:rsidR="00976F3C" w:rsidRPr="003F5B1F">
        <w:t>o</w:t>
      </w:r>
      <w:r w:rsidR="000D2D26" w:rsidRPr="003F5B1F">
        <w:t xml:space="preserve"> </w:t>
      </w:r>
      <w:r w:rsidR="00976F3C" w:rsidRPr="003F5B1F">
        <w:t>soma</w:t>
      </w:r>
      <w:r w:rsidR="000D2D26" w:rsidRPr="003F5B1F">
        <w:t xml:space="preserve"> R$ </w:t>
      </w:r>
      <w:r w:rsidR="00E00CAD">
        <w:t>178</w:t>
      </w:r>
      <w:r w:rsidR="000D2D26" w:rsidRPr="003F5B1F">
        <w:t xml:space="preserve"> bilhões</w:t>
      </w:r>
      <w:r w:rsidR="00657471" w:rsidRPr="003F5B1F">
        <w:t xml:space="preserve"> (figura 13)</w:t>
      </w:r>
      <w:r w:rsidR="000D2D26" w:rsidRPr="003F5B1F">
        <w:t xml:space="preserve">, não mais vinculado </w:t>
      </w:r>
      <w:r w:rsidR="003E2537" w:rsidRPr="003F5B1F">
        <w:t>ao conceito da</w:t>
      </w:r>
      <w:r w:rsidR="000D2D26" w:rsidRPr="003F5B1F">
        <w:t xml:space="preserve"> LRF. O D</w:t>
      </w:r>
      <w:r w:rsidR="00087D31">
        <w:t>D</w:t>
      </w:r>
      <w:r w:rsidR="000D2D26" w:rsidRPr="003F5B1F">
        <w:t xml:space="preserve">GG, mantendo a uniformidade de tratamento, estabelece como “Remuneração de Empregados” a soma </w:t>
      </w:r>
      <w:r w:rsidR="0061439B" w:rsidRPr="003F5B1F">
        <w:t>próxima a</w:t>
      </w:r>
      <w:r w:rsidR="000D2D26" w:rsidRPr="003F5B1F">
        <w:t xml:space="preserve"> R$ 279 bilhões</w:t>
      </w:r>
      <w:r w:rsidR="001F4A0C" w:rsidRPr="003F5B1F">
        <w:t xml:space="preserve"> (figura 14)</w:t>
      </w:r>
      <w:r w:rsidR="000D2D26" w:rsidRPr="003F5B1F">
        <w:t xml:space="preserve">. Vale lembrar, aqui, que o Boletim não abrange à totalidade dos municípios brasileiros, mas somente àqueles que enviaram os seus dados para o </w:t>
      </w:r>
      <w:proofErr w:type="spellStart"/>
      <w:r w:rsidR="000D2D26" w:rsidRPr="003F5B1F">
        <w:t>S</w:t>
      </w:r>
      <w:r w:rsidR="001152BD" w:rsidRPr="003F5B1F">
        <w:t>iconfi</w:t>
      </w:r>
      <w:proofErr w:type="spellEnd"/>
      <w:r w:rsidR="000D2D26" w:rsidRPr="003F5B1F">
        <w:t>. O D</w:t>
      </w:r>
      <w:r w:rsidR="00FD01B5" w:rsidRPr="003F5B1F">
        <w:t>D</w:t>
      </w:r>
      <w:r w:rsidR="000D2D26" w:rsidRPr="003F5B1F">
        <w:t xml:space="preserve">GG, mesmo se alimentando da mesma fonte de informação do Boletim, imputa os dados dos municípios </w:t>
      </w:r>
      <w:r w:rsidR="006B5639" w:rsidRPr="003F5B1F">
        <w:t>faltantes</w:t>
      </w:r>
      <w:r w:rsidR="000D2D26" w:rsidRPr="003F5B1F">
        <w:t xml:space="preserve"> para contemplar a totalidade das cidades.</w:t>
      </w:r>
    </w:p>
    <w:p w14:paraId="25EA6253" w14:textId="2BCAD2E9" w:rsidR="00394FE0" w:rsidRDefault="00394FE0" w:rsidP="000B7B0D"/>
    <w:p w14:paraId="5C3FC63B" w14:textId="175F6F57" w:rsidR="00394FE0" w:rsidRPr="00394FE0" w:rsidRDefault="00394FE0" w:rsidP="00394FE0">
      <w:pPr>
        <w:jc w:val="center"/>
        <w:rPr>
          <w:b/>
        </w:rPr>
      </w:pPr>
      <w:r w:rsidRPr="00394FE0">
        <w:rPr>
          <w:b/>
        </w:rPr>
        <w:t>Figura 13</w:t>
      </w:r>
      <w:r>
        <w:rPr>
          <w:b/>
        </w:rPr>
        <w:t xml:space="preserve"> –</w:t>
      </w:r>
      <w:r w:rsidRPr="00394FE0">
        <w:rPr>
          <w:b/>
        </w:rPr>
        <w:t xml:space="preserve"> Gasto com pessoal agregado dos municípios, em relação ao exercício de 2017, no Boletim dos Entes Subnacionais</w:t>
      </w:r>
    </w:p>
    <w:p w14:paraId="0068DE98" w14:textId="497C9C4D" w:rsidR="00E556AF" w:rsidRPr="003F5B1F" w:rsidRDefault="00E556AF" w:rsidP="00394FE0">
      <w:pPr>
        <w:jc w:val="center"/>
      </w:pPr>
      <w:r w:rsidRPr="003F5B1F">
        <w:rPr>
          <w:noProof/>
        </w:rPr>
        <w:drawing>
          <wp:inline distT="0" distB="0" distL="0" distR="0" wp14:anchorId="3225879C" wp14:editId="04AAD1B6">
            <wp:extent cx="4133850" cy="5638800"/>
            <wp:effectExtent l="19050" t="19050" r="19050" b="190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33850" cy="5638800"/>
                    </a:xfrm>
                    <a:prstGeom prst="rect">
                      <a:avLst/>
                    </a:prstGeom>
                    <a:ln w="12700">
                      <a:solidFill>
                        <a:schemeClr val="bg2">
                          <a:lumMod val="90000"/>
                        </a:schemeClr>
                      </a:solidFill>
                    </a:ln>
                  </pic:spPr>
                </pic:pic>
              </a:graphicData>
            </a:graphic>
          </wp:inline>
        </w:drawing>
      </w:r>
    </w:p>
    <w:p w14:paraId="4C851DBF" w14:textId="4DD017F1" w:rsidR="00541CDF" w:rsidRDefault="00394FE0" w:rsidP="000B7B0D">
      <w:pPr>
        <w:rPr>
          <w:rStyle w:val="SubttuloChar"/>
        </w:rPr>
      </w:pPr>
      <w:r>
        <w:rPr>
          <w:rStyle w:val="SubttuloChar"/>
        </w:rPr>
        <w:tab/>
        <w:t xml:space="preserve">     </w:t>
      </w:r>
      <w:r w:rsidRPr="005B1B96">
        <w:rPr>
          <w:rStyle w:val="SubttuloChar"/>
        </w:rPr>
        <w:t>Fonte: Secretaria do Tesouro Nacional</w:t>
      </w:r>
    </w:p>
    <w:p w14:paraId="4333578F" w14:textId="3A89958B" w:rsidR="00394FE0" w:rsidRDefault="00394FE0" w:rsidP="000B7B0D"/>
    <w:p w14:paraId="2BE8B421" w14:textId="76B224FF" w:rsidR="00394FE0" w:rsidRPr="00394FE0" w:rsidRDefault="00394FE0" w:rsidP="00394FE0">
      <w:pPr>
        <w:jc w:val="center"/>
        <w:rPr>
          <w:b/>
        </w:rPr>
      </w:pPr>
      <w:r w:rsidRPr="00394FE0">
        <w:rPr>
          <w:b/>
        </w:rPr>
        <w:lastRenderedPageBreak/>
        <w:t>Figura 14</w:t>
      </w:r>
      <w:r>
        <w:rPr>
          <w:b/>
        </w:rPr>
        <w:t xml:space="preserve"> –</w:t>
      </w:r>
      <w:r w:rsidRPr="00394FE0">
        <w:rPr>
          <w:b/>
        </w:rPr>
        <w:t xml:space="preserve"> Trecho do anexo do DDGG dos Governos Municipais, por trimestre, no ano de 2017.</w:t>
      </w:r>
    </w:p>
    <w:p w14:paraId="4AEB6661" w14:textId="0CD41513" w:rsidR="00E56DBF" w:rsidRPr="003F5B1F" w:rsidRDefault="00DA7401" w:rsidP="00394FE0">
      <w:pPr>
        <w:jc w:val="center"/>
      </w:pPr>
      <w:r w:rsidRPr="003F5B1F">
        <w:rPr>
          <w:noProof/>
        </w:rPr>
        <w:drawing>
          <wp:inline distT="0" distB="0" distL="0" distR="0" wp14:anchorId="3F392DAE" wp14:editId="78C89517">
            <wp:extent cx="5267325" cy="2131695"/>
            <wp:effectExtent l="19050" t="19050" r="28575" b="2095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67325" cy="2131695"/>
                    </a:xfrm>
                    <a:prstGeom prst="rect">
                      <a:avLst/>
                    </a:prstGeom>
                    <a:ln w="12700">
                      <a:solidFill>
                        <a:schemeClr val="bg2">
                          <a:lumMod val="90000"/>
                        </a:schemeClr>
                      </a:solidFill>
                    </a:ln>
                  </pic:spPr>
                </pic:pic>
              </a:graphicData>
            </a:graphic>
          </wp:inline>
        </w:drawing>
      </w:r>
    </w:p>
    <w:p w14:paraId="2CCA53CE" w14:textId="063196C1" w:rsidR="00394FE0" w:rsidRDefault="00394FE0" w:rsidP="00394FE0">
      <w:pPr>
        <w:pStyle w:val="Subttulo"/>
      </w:pPr>
      <w:r>
        <w:rPr>
          <w:rStyle w:val="SubttuloChar"/>
        </w:rPr>
        <w:tab/>
      </w:r>
      <w:r w:rsidRPr="005B1B96">
        <w:rPr>
          <w:rStyle w:val="SubttuloChar"/>
        </w:rPr>
        <w:t>Fonte: Secretaria do Tesouro Nacional</w:t>
      </w:r>
      <w:r>
        <w:t xml:space="preserve"> </w:t>
      </w:r>
    </w:p>
    <w:p w14:paraId="6E10664D" w14:textId="77777777" w:rsidR="00394FE0" w:rsidRDefault="00394FE0" w:rsidP="00B46FAA">
      <w:pPr>
        <w:pStyle w:val="Ttulo2"/>
      </w:pPr>
    </w:p>
    <w:p w14:paraId="6351D150" w14:textId="0B776549" w:rsidR="002F6CEE" w:rsidRDefault="003E4750" w:rsidP="00B46FAA">
      <w:pPr>
        <w:pStyle w:val="Ttulo2"/>
      </w:pPr>
      <w:bookmarkStart w:id="78" w:name="_Toc16087710"/>
      <w:r>
        <w:t>4</w:t>
      </w:r>
      <w:r w:rsidR="00A616D9" w:rsidRPr="009215BC">
        <w:t>.2</w:t>
      </w:r>
      <w:r w:rsidR="00394FE0">
        <w:t>.</w:t>
      </w:r>
      <w:r w:rsidR="00A616D9" w:rsidRPr="009215BC">
        <w:t xml:space="preserve"> </w:t>
      </w:r>
      <w:r w:rsidR="002F6CEE" w:rsidRPr="009215BC">
        <w:t>Gasto com previdência</w:t>
      </w:r>
      <w:bookmarkEnd w:id="78"/>
    </w:p>
    <w:p w14:paraId="7E75689F" w14:textId="77777777" w:rsidR="00394FE0" w:rsidRPr="00394FE0" w:rsidRDefault="00394FE0" w:rsidP="00394FE0"/>
    <w:p w14:paraId="1C128321" w14:textId="54485F83" w:rsidR="00043FC9" w:rsidRPr="003F5B1F" w:rsidRDefault="00194D11" w:rsidP="000B7B0D">
      <w:r w:rsidRPr="003F5B1F">
        <w:t>Quando se</w:t>
      </w:r>
      <w:r w:rsidR="001553FA" w:rsidRPr="003F5B1F">
        <w:t xml:space="preserve"> altera o foco para o gasto com previdência</w:t>
      </w:r>
      <w:r w:rsidR="00EA49B7" w:rsidRPr="003F5B1F">
        <w:t xml:space="preserve">, </w:t>
      </w:r>
      <w:r w:rsidR="00A4354C" w:rsidRPr="003F5B1F">
        <w:t>vale lembrar que</w:t>
      </w:r>
      <w:r w:rsidR="0017667E" w:rsidRPr="003F5B1F">
        <w:t xml:space="preserve"> </w:t>
      </w:r>
      <w:r w:rsidR="00361E7A" w:rsidRPr="003F5B1F">
        <w:t>o Regime Geral de Previdência Social (RGPS) é de competência privativa</w:t>
      </w:r>
      <w:r w:rsidR="002E2976" w:rsidRPr="003F5B1F">
        <w:t xml:space="preserve"> da União</w:t>
      </w:r>
      <w:r w:rsidR="00A83016" w:rsidRPr="003F5B1F">
        <w:t>.</w:t>
      </w:r>
      <w:r w:rsidR="002E2976" w:rsidRPr="003F5B1F">
        <w:t xml:space="preserve"> </w:t>
      </w:r>
      <w:r w:rsidR="00A83016" w:rsidRPr="003F5B1F">
        <w:t>Assim</w:t>
      </w:r>
      <w:r w:rsidR="002E2976" w:rsidRPr="003F5B1F">
        <w:t xml:space="preserve">, a despesa com o RGPS somente </w:t>
      </w:r>
      <w:r w:rsidR="00870DA5" w:rsidRPr="003F5B1F">
        <w:t xml:space="preserve">irá </w:t>
      </w:r>
      <w:r w:rsidR="00A83016" w:rsidRPr="003F5B1F">
        <w:t>impactar</w:t>
      </w:r>
      <w:r w:rsidR="00870DA5" w:rsidRPr="003F5B1F">
        <w:t xml:space="preserve"> a esfera federal</w:t>
      </w:r>
      <w:r w:rsidR="00A83016" w:rsidRPr="003F5B1F">
        <w:t xml:space="preserve">. </w:t>
      </w:r>
      <w:r w:rsidR="00334A9F" w:rsidRPr="003F5B1F">
        <w:t xml:space="preserve">Nesse sentido, </w:t>
      </w:r>
      <w:r w:rsidR="001F03AC" w:rsidRPr="003F5B1F">
        <w:t>o RTN, na linha “Benefícios Previdenciários”</w:t>
      </w:r>
      <w:r w:rsidR="000A15F0" w:rsidRPr="003F5B1F">
        <w:t xml:space="preserve">, </w:t>
      </w:r>
      <w:r w:rsidR="00184A2E" w:rsidRPr="003F5B1F">
        <w:t>exibe</w:t>
      </w:r>
      <w:r w:rsidR="00161C10" w:rsidRPr="003F5B1F">
        <w:t xml:space="preserve"> o número </w:t>
      </w:r>
      <w:r w:rsidR="0061439B" w:rsidRPr="003F5B1F">
        <w:t xml:space="preserve">aproximado </w:t>
      </w:r>
      <w:r w:rsidR="00161C10" w:rsidRPr="003F5B1F">
        <w:t>de R$ 557 bilhões pagos</w:t>
      </w:r>
      <w:r w:rsidR="007319A0" w:rsidRPr="003F5B1F">
        <w:t xml:space="preserve"> (figura 9)</w:t>
      </w:r>
      <w:r w:rsidR="00A42B5D" w:rsidRPr="003F5B1F">
        <w:t xml:space="preserve">, exclusivamente, </w:t>
      </w:r>
      <w:r w:rsidR="00690C74" w:rsidRPr="003F5B1F">
        <w:t>à título de</w:t>
      </w:r>
      <w:r w:rsidR="001D1DDB" w:rsidRPr="003F5B1F">
        <w:t xml:space="preserve"> RGPS. Não há referência, por exemplo, aos gastos com o RPPS</w:t>
      </w:r>
      <w:r w:rsidR="00BA5B1F" w:rsidRPr="003F5B1F">
        <w:t xml:space="preserve"> da União</w:t>
      </w:r>
      <w:r w:rsidR="00451D1C" w:rsidRPr="003F5B1F">
        <w:t xml:space="preserve">, que, conforme já relatado, </w:t>
      </w:r>
      <w:r w:rsidR="00845028" w:rsidRPr="003F5B1F">
        <w:t xml:space="preserve">está agregado </w:t>
      </w:r>
      <w:r w:rsidR="00E53FFB" w:rsidRPr="003F5B1F">
        <w:t xml:space="preserve">sob o </w:t>
      </w:r>
      <w:r w:rsidR="004467E9" w:rsidRPr="003F5B1F">
        <w:t>nome</w:t>
      </w:r>
      <w:r w:rsidR="00E53FFB" w:rsidRPr="003F5B1F">
        <w:t xml:space="preserve"> “Pessoal e Encargos Sociais”. De forma distinta, </w:t>
      </w:r>
      <w:r w:rsidR="00690C74" w:rsidRPr="003F5B1F">
        <w:t>o D</w:t>
      </w:r>
      <w:r w:rsidR="00087D31">
        <w:t>D</w:t>
      </w:r>
      <w:r w:rsidR="00690C74" w:rsidRPr="003F5B1F">
        <w:t>GG</w:t>
      </w:r>
      <w:r w:rsidR="007F196D" w:rsidRPr="003F5B1F">
        <w:t xml:space="preserve"> </w:t>
      </w:r>
      <w:r w:rsidR="009929C6" w:rsidRPr="003F5B1F">
        <w:t xml:space="preserve">é mais </w:t>
      </w:r>
      <w:r w:rsidR="004467E9" w:rsidRPr="003F5B1F">
        <w:t>extensivo n</w:t>
      </w:r>
      <w:r w:rsidR="00120758" w:rsidRPr="003F5B1F">
        <w:t>o rótulo</w:t>
      </w:r>
      <w:r w:rsidR="00DB0C26" w:rsidRPr="003F5B1F">
        <w:t xml:space="preserve"> “</w:t>
      </w:r>
      <w:r w:rsidR="00881DED" w:rsidRPr="003F5B1F">
        <w:t>Benefícios Sociais”</w:t>
      </w:r>
      <w:r w:rsidR="00120758" w:rsidRPr="003F5B1F">
        <w:t xml:space="preserve">, ao incluir, </w:t>
      </w:r>
      <w:r w:rsidR="00E34CB2" w:rsidRPr="003F5B1F">
        <w:t xml:space="preserve">além do RGPS, os benefícios </w:t>
      </w:r>
      <w:r w:rsidR="00A2470A" w:rsidRPr="003F5B1F">
        <w:t>do RPPS e os de assistência social</w:t>
      </w:r>
      <w:r w:rsidR="005D1CC8" w:rsidRPr="003F5B1F">
        <w:t xml:space="preserve">, que totalizam </w:t>
      </w:r>
      <w:r w:rsidR="0061439B" w:rsidRPr="003F5B1F">
        <w:t xml:space="preserve">quase </w:t>
      </w:r>
      <w:r w:rsidR="005D1CC8" w:rsidRPr="003F5B1F">
        <w:t>R$ 951 bilhões</w:t>
      </w:r>
      <w:r w:rsidR="00292E9C" w:rsidRPr="003F5B1F">
        <w:t xml:space="preserve"> (figura 10)</w:t>
      </w:r>
      <w:r w:rsidR="005D1CC8" w:rsidRPr="003F5B1F">
        <w:t xml:space="preserve">, </w:t>
      </w:r>
      <w:r w:rsidR="004A1C96" w:rsidRPr="003F5B1F">
        <w:t>coerentemente acima do valor trazido pelo RTN.</w:t>
      </w:r>
      <w:r w:rsidR="005D1CC8" w:rsidRPr="003F5B1F">
        <w:t xml:space="preserve"> </w:t>
      </w:r>
    </w:p>
    <w:p w14:paraId="0E8A583A" w14:textId="254F5E70" w:rsidR="00213788" w:rsidRPr="003F5B1F" w:rsidRDefault="00982190" w:rsidP="000B7B0D">
      <w:r w:rsidRPr="003F5B1F">
        <w:t>No que se refere aos estados da federação, o Boletim dos Entes Subnacionais</w:t>
      </w:r>
      <w:r w:rsidR="007831E4" w:rsidRPr="003F5B1F">
        <w:t xml:space="preserve"> </w:t>
      </w:r>
      <w:r w:rsidR="00FD3577" w:rsidRPr="003F5B1F">
        <w:t>não relata, de forma específica, as despesas com previdência</w:t>
      </w:r>
      <w:r w:rsidR="005F5D57" w:rsidRPr="003F5B1F">
        <w:t xml:space="preserve"> desses entes. Todavia, </w:t>
      </w:r>
      <w:r w:rsidR="00DC4D6E" w:rsidRPr="003F5B1F">
        <w:t xml:space="preserve">explicita </w:t>
      </w:r>
      <w:r w:rsidR="0084448C" w:rsidRPr="003F5B1F">
        <w:t>uma aproximação</w:t>
      </w:r>
      <w:r w:rsidR="000B48DA" w:rsidRPr="003F5B1F">
        <w:t xml:space="preserve"> de R$ 94</w:t>
      </w:r>
      <w:r w:rsidR="00920239" w:rsidRPr="003F5B1F">
        <w:t xml:space="preserve"> bilhões como “Custo Previdenciário”</w:t>
      </w:r>
      <w:r w:rsidR="001A195C" w:rsidRPr="003F5B1F">
        <w:t xml:space="preserve"> (figura 15)</w:t>
      </w:r>
      <w:r w:rsidR="00920239" w:rsidRPr="003F5B1F">
        <w:t xml:space="preserve">, </w:t>
      </w:r>
      <w:r w:rsidR="00FB1B5A" w:rsidRPr="003F5B1F">
        <w:t xml:space="preserve">que seria </w:t>
      </w:r>
      <w:r w:rsidR="009C6EC8" w:rsidRPr="003F5B1F">
        <w:t xml:space="preserve">o </w:t>
      </w:r>
      <w:r w:rsidR="004A5CBB" w:rsidRPr="003F5B1F">
        <w:t>aporte realizado</w:t>
      </w:r>
      <w:r w:rsidR="009B1933" w:rsidRPr="003F5B1F">
        <w:t xml:space="preserve"> pelo</w:t>
      </w:r>
      <w:r w:rsidR="00FC39AC">
        <w:t>s</w:t>
      </w:r>
      <w:r w:rsidR="009B1933" w:rsidRPr="003F5B1F">
        <w:t xml:space="preserve"> </w:t>
      </w:r>
      <w:r w:rsidR="002E6ECE">
        <w:t>t</w:t>
      </w:r>
      <w:r w:rsidR="009B1933" w:rsidRPr="003F5B1F">
        <w:t>esouro</w:t>
      </w:r>
      <w:r w:rsidR="00FC39AC">
        <w:t>s</w:t>
      </w:r>
      <w:r w:rsidR="009B1933" w:rsidRPr="003F5B1F">
        <w:t xml:space="preserve"> </w:t>
      </w:r>
      <w:r w:rsidR="002E6ECE">
        <w:t>e</w:t>
      </w:r>
      <w:r w:rsidR="009B1933" w:rsidRPr="003F5B1F">
        <w:t>stadua</w:t>
      </w:r>
      <w:r w:rsidR="00FC39AC">
        <w:t>is</w:t>
      </w:r>
      <w:r w:rsidR="009B1933" w:rsidRPr="003F5B1F">
        <w:t xml:space="preserve"> para cobrir o déficit financeiro</w:t>
      </w:r>
      <w:r w:rsidR="00507CBB" w:rsidRPr="003F5B1F">
        <w:t xml:space="preserve"> do</w:t>
      </w:r>
      <w:r w:rsidR="00FC39AC">
        <w:t>s respectivos</w:t>
      </w:r>
      <w:r w:rsidR="00507CBB" w:rsidRPr="003F5B1F">
        <w:t xml:space="preserve"> regime</w:t>
      </w:r>
      <w:r w:rsidR="00FC39AC">
        <w:t>s</w:t>
      </w:r>
      <w:r w:rsidR="00507CBB" w:rsidRPr="003F5B1F">
        <w:t xml:space="preserve"> previdenciário</w:t>
      </w:r>
      <w:r w:rsidR="00FC39AC">
        <w:t>s</w:t>
      </w:r>
      <w:r w:rsidR="00507CBB" w:rsidRPr="003F5B1F">
        <w:t xml:space="preserve">. </w:t>
      </w:r>
      <w:r w:rsidR="00996864" w:rsidRPr="003F5B1F">
        <w:t xml:space="preserve">Isto é, os recursos vinculados </w:t>
      </w:r>
      <w:r w:rsidR="0004003B" w:rsidRPr="003F5B1F">
        <w:t xml:space="preserve">à Previdência não foram suficientes para </w:t>
      </w:r>
      <w:r w:rsidR="001E01DD" w:rsidRPr="003F5B1F">
        <w:t>custear</w:t>
      </w:r>
      <w:r w:rsidR="0004003B" w:rsidRPr="003F5B1F">
        <w:t xml:space="preserve"> </w:t>
      </w:r>
      <w:r w:rsidR="00716FB8" w:rsidRPr="003F5B1F">
        <w:t>as despesas</w:t>
      </w:r>
      <w:r w:rsidR="006836DA" w:rsidRPr="003F5B1F">
        <w:t xml:space="preserve"> </w:t>
      </w:r>
      <w:r w:rsidR="00716FB8" w:rsidRPr="003F5B1F">
        <w:t>d</w:t>
      </w:r>
      <w:r w:rsidR="006836DA" w:rsidRPr="003F5B1F">
        <w:t>o ano</w:t>
      </w:r>
      <w:r w:rsidR="00776277" w:rsidRPr="003F5B1F">
        <w:t xml:space="preserve">. </w:t>
      </w:r>
      <w:r w:rsidR="00F81287" w:rsidRPr="003F5B1F">
        <w:t xml:space="preserve">O “Custo Previdenciário” </w:t>
      </w:r>
      <w:r w:rsidR="0053025B" w:rsidRPr="003F5B1F">
        <w:t xml:space="preserve">reflete </w:t>
      </w:r>
      <w:r w:rsidR="00034713" w:rsidRPr="003F5B1F">
        <w:t>a questão</w:t>
      </w:r>
      <w:r w:rsidR="006B3F4E" w:rsidRPr="003F5B1F">
        <w:t xml:space="preserve"> da insustentabilidade dos regimes de previdência estaduais. </w:t>
      </w:r>
      <w:r w:rsidR="00A84371" w:rsidRPr="003F5B1F">
        <w:t xml:space="preserve">Por outro lado, </w:t>
      </w:r>
      <w:r w:rsidR="003802CD" w:rsidRPr="003F5B1F">
        <w:t>o D</w:t>
      </w:r>
      <w:r w:rsidR="0027262D" w:rsidRPr="003F5B1F">
        <w:t>D</w:t>
      </w:r>
      <w:r w:rsidR="003802CD" w:rsidRPr="003F5B1F">
        <w:t>GG</w:t>
      </w:r>
      <w:r w:rsidR="00865981" w:rsidRPr="003F5B1F">
        <w:t>, assim como ocorre n</w:t>
      </w:r>
      <w:r w:rsidR="00A1088B" w:rsidRPr="003F5B1F">
        <w:t xml:space="preserve">a esfera federal, utiliza a </w:t>
      </w:r>
      <w:r w:rsidR="00C87250" w:rsidRPr="003F5B1F">
        <w:t xml:space="preserve">mesma </w:t>
      </w:r>
      <w:r w:rsidR="00A1088B" w:rsidRPr="003F5B1F">
        <w:t xml:space="preserve">designação “Benefícios </w:t>
      </w:r>
      <w:r w:rsidR="00AC30B0" w:rsidRPr="003F5B1F">
        <w:t>Sociais</w:t>
      </w:r>
      <w:r w:rsidR="004C00BB" w:rsidRPr="003F5B1F">
        <w:t>”</w:t>
      </w:r>
      <w:r w:rsidR="00C87250" w:rsidRPr="003F5B1F">
        <w:t xml:space="preserve"> para os estados, </w:t>
      </w:r>
      <w:r w:rsidR="000144EB" w:rsidRPr="003F5B1F">
        <w:t xml:space="preserve">cuja soma fica </w:t>
      </w:r>
      <w:r w:rsidR="009A309A" w:rsidRPr="003F5B1F">
        <w:t>em torno de R$ 159 bilhões</w:t>
      </w:r>
      <w:r w:rsidR="0059250B" w:rsidRPr="003F5B1F">
        <w:t xml:space="preserve"> (figura 11)</w:t>
      </w:r>
      <w:r w:rsidR="001763BE" w:rsidRPr="003F5B1F">
        <w:t xml:space="preserve">. Pela </w:t>
      </w:r>
      <w:r w:rsidR="00270312" w:rsidRPr="003F5B1F">
        <w:t xml:space="preserve">grande dispersão em sua </w:t>
      </w:r>
      <w:r w:rsidR="001763BE" w:rsidRPr="003F5B1F">
        <w:t xml:space="preserve">composição, </w:t>
      </w:r>
      <w:r w:rsidR="00424C7B" w:rsidRPr="003F5B1F">
        <w:t xml:space="preserve">nota-se que </w:t>
      </w:r>
      <w:r w:rsidR="00DF2226" w:rsidRPr="003F5B1F">
        <w:t xml:space="preserve">seria imprudente </w:t>
      </w:r>
      <w:r w:rsidR="00B45445" w:rsidRPr="003F5B1F">
        <w:t>uma</w:t>
      </w:r>
      <w:r w:rsidR="00DF2226" w:rsidRPr="003F5B1F">
        <w:t xml:space="preserve"> comparação </w:t>
      </w:r>
      <w:r w:rsidR="00295574" w:rsidRPr="003F5B1F">
        <w:t>entre as</w:t>
      </w:r>
      <w:r w:rsidR="00B45445" w:rsidRPr="003F5B1F">
        <w:t xml:space="preserve"> rubricas.</w:t>
      </w:r>
    </w:p>
    <w:p w14:paraId="039A65ED" w14:textId="5593F4E5" w:rsidR="00930C43" w:rsidRPr="00930C43" w:rsidRDefault="00930C43" w:rsidP="00930C43">
      <w:pPr>
        <w:jc w:val="center"/>
        <w:rPr>
          <w:b/>
        </w:rPr>
      </w:pPr>
      <w:r w:rsidRPr="00930C43">
        <w:rPr>
          <w:b/>
        </w:rPr>
        <w:lastRenderedPageBreak/>
        <w:t>Figura 15</w:t>
      </w:r>
      <w:r>
        <w:rPr>
          <w:b/>
        </w:rPr>
        <w:t xml:space="preserve"> –</w:t>
      </w:r>
      <w:r w:rsidRPr="00930C43">
        <w:rPr>
          <w:b/>
        </w:rPr>
        <w:t xml:space="preserve"> Custo previdenciário por estado, em relação ao exercício de 2017, no Boletim dos Entes Subnacionais</w:t>
      </w:r>
    </w:p>
    <w:p w14:paraId="1E055A55" w14:textId="7D165321" w:rsidR="00B06A85" w:rsidRPr="003F5B1F" w:rsidRDefault="00B06A85" w:rsidP="00930C43">
      <w:pPr>
        <w:jc w:val="center"/>
      </w:pPr>
      <w:r w:rsidRPr="003F5B1F">
        <w:rPr>
          <w:noProof/>
        </w:rPr>
        <w:drawing>
          <wp:inline distT="0" distB="0" distL="0" distR="0" wp14:anchorId="5C8013DF" wp14:editId="436CC8F1">
            <wp:extent cx="4000500" cy="5600700"/>
            <wp:effectExtent l="19050" t="19050" r="19050" b="1905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00500" cy="5600700"/>
                    </a:xfrm>
                    <a:prstGeom prst="rect">
                      <a:avLst/>
                    </a:prstGeom>
                    <a:ln w="12700">
                      <a:solidFill>
                        <a:schemeClr val="bg2">
                          <a:lumMod val="90000"/>
                        </a:schemeClr>
                      </a:solidFill>
                    </a:ln>
                  </pic:spPr>
                </pic:pic>
              </a:graphicData>
            </a:graphic>
          </wp:inline>
        </w:drawing>
      </w:r>
    </w:p>
    <w:p w14:paraId="27A7F6F2" w14:textId="55B2C332" w:rsidR="00895A29" w:rsidRDefault="00930C43" w:rsidP="000B7B0D">
      <w:pPr>
        <w:rPr>
          <w:rStyle w:val="SubttuloChar"/>
        </w:rPr>
      </w:pPr>
      <w:r>
        <w:rPr>
          <w:rStyle w:val="SubttuloChar"/>
        </w:rPr>
        <w:tab/>
        <w:t xml:space="preserve">       </w:t>
      </w:r>
      <w:r w:rsidRPr="005B1B96">
        <w:rPr>
          <w:rStyle w:val="SubttuloChar"/>
        </w:rPr>
        <w:t>Fonte: Secretaria do Tesouro Nacional</w:t>
      </w:r>
    </w:p>
    <w:p w14:paraId="45F72ACF" w14:textId="77777777" w:rsidR="00930C43" w:rsidRPr="003F5B1F" w:rsidRDefault="00930C43" w:rsidP="000B7B0D"/>
    <w:p w14:paraId="5B6D5499" w14:textId="4687020E" w:rsidR="00FE7448" w:rsidRDefault="00CD6007" w:rsidP="000B7B0D">
      <w:r w:rsidRPr="003F5B1F">
        <w:t>Para a municip</w:t>
      </w:r>
      <w:r w:rsidR="00837DE0" w:rsidRPr="003F5B1F">
        <w:t>alidade, o Boletim surge</w:t>
      </w:r>
      <w:r w:rsidR="00F63288" w:rsidRPr="003F5B1F">
        <w:t xml:space="preserve"> com </w:t>
      </w:r>
      <w:r w:rsidR="008C6EAE" w:rsidRPr="003F5B1F">
        <w:t>o somatóri</w:t>
      </w:r>
      <w:r w:rsidR="002E66DE" w:rsidRPr="003F5B1F">
        <w:t>o</w:t>
      </w:r>
      <w:r w:rsidR="008C6EAE" w:rsidRPr="003F5B1F">
        <w:t xml:space="preserve"> das</w:t>
      </w:r>
      <w:r w:rsidR="00F63288" w:rsidRPr="003F5B1F">
        <w:t xml:space="preserve"> linha</w:t>
      </w:r>
      <w:r w:rsidR="008C6EAE" w:rsidRPr="003F5B1F">
        <w:t>s</w:t>
      </w:r>
      <w:r w:rsidR="00F63288" w:rsidRPr="003F5B1F">
        <w:t xml:space="preserve"> “Inativo</w:t>
      </w:r>
      <w:r w:rsidR="00656336" w:rsidRPr="003F5B1F">
        <w:t>s</w:t>
      </w:r>
      <w:r w:rsidR="00F63288" w:rsidRPr="003F5B1F">
        <w:t>”</w:t>
      </w:r>
      <w:r w:rsidR="00656336" w:rsidRPr="003F5B1F">
        <w:t xml:space="preserve"> e “Pensionistas”</w:t>
      </w:r>
      <w:r w:rsidR="00F63288" w:rsidRPr="003F5B1F">
        <w:t xml:space="preserve"> </w:t>
      </w:r>
      <w:r w:rsidR="0032689F" w:rsidRPr="003F5B1F">
        <w:t>no valor de R$ 39</w:t>
      </w:r>
      <w:r w:rsidR="005415E1" w:rsidRPr="003F5B1F">
        <w:t xml:space="preserve"> bilhões</w:t>
      </w:r>
      <w:r w:rsidR="002E66DE" w:rsidRPr="003F5B1F">
        <w:t xml:space="preserve"> (figura 13)</w:t>
      </w:r>
      <w:r w:rsidR="005415E1" w:rsidRPr="003F5B1F">
        <w:t xml:space="preserve">, </w:t>
      </w:r>
      <w:r w:rsidR="00B56F0E" w:rsidRPr="003F5B1F">
        <w:t xml:space="preserve">incorporando as despesas empenhadas com inativos e pensionistas. </w:t>
      </w:r>
      <w:r w:rsidR="00ED162E" w:rsidRPr="003F5B1F">
        <w:t>O D</w:t>
      </w:r>
      <w:r w:rsidR="00B50C6C">
        <w:t>D</w:t>
      </w:r>
      <w:r w:rsidR="00ED162E" w:rsidRPr="003F5B1F">
        <w:t>GG</w:t>
      </w:r>
      <w:r w:rsidR="00B165BA" w:rsidRPr="003F5B1F">
        <w:t xml:space="preserve"> das Estatísticas </w:t>
      </w:r>
      <w:r w:rsidR="00002ECE" w:rsidRPr="003F5B1F">
        <w:t>Fiscais Trimestrais</w:t>
      </w:r>
      <w:r w:rsidR="005D6448" w:rsidRPr="003F5B1F">
        <w:t xml:space="preserve">, </w:t>
      </w:r>
      <w:r w:rsidR="0077226A" w:rsidRPr="003F5B1F">
        <w:t xml:space="preserve">mantendo a expressão “Benefícios Sociais”, expressa </w:t>
      </w:r>
      <w:r w:rsidR="00ED560F" w:rsidRPr="003F5B1F">
        <w:t xml:space="preserve">R$ </w:t>
      </w:r>
      <w:r w:rsidR="00952CDA" w:rsidRPr="003F5B1F">
        <w:t>46 bilhões</w:t>
      </w:r>
      <w:r w:rsidR="007D18C0" w:rsidRPr="003F5B1F">
        <w:t xml:space="preserve"> (figura 14)</w:t>
      </w:r>
      <w:r w:rsidR="00952CDA" w:rsidRPr="003F5B1F">
        <w:t xml:space="preserve">. </w:t>
      </w:r>
      <w:r w:rsidR="00E76144" w:rsidRPr="003F5B1F">
        <w:t>Cumpre rememorar que o Boletim só inclui informações</w:t>
      </w:r>
      <w:r w:rsidR="001152BD" w:rsidRPr="003F5B1F">
        <w:t xml:space="preserve"> de municípios que enviaram suas contas ao </w:t>
      </w:r>
      <w:proofErr w:type="spellStart"/>
      <w:r w:rsidR="001152BD" w:rsidRPr="003F5B1F">
        <w:t>Siconfi</w:t>
      </w:r>
      <w:proofErr w:type="spellEnd"/>
      <w:r w:rsidR="001152BD" w:rsidRPr="003F5B1F">
        <w:t>, enquanto o D</w:t>
      </w:r>
      <w:r w:rsidR="0027262D" w:rsidRPr="003F5B1F">
        <w:t>D</w:t>
      </w:r>
      <w:r w:rsidR="001152BD" w:rsidRPr="003F5B1F">
        <w:t xml:space="preserve">GG imputa os dados restantes para acomodar </w:t>
      </w:r>
      <w:r w:rsidR="009E067A" w:rsidRPr="003F5B1F">
        <w:t>todo o</w:t>
      </w:r>
      <w:r w:rsidR="00490EF9" w:rsidRPr="003F5B1F">
        <w:t xml:space="preserve"> univers</w:t>
      </w:r>
      <w:r w:rsidR="004216AA" w:rsidRPr="003F5B1F">
        <w:t>o das cidades.</w:t>
      </w:r>
    </w:p>
    <w:p w14:paraId="39F407C8" w14:textId="77777777" w:rsidR="00930C43" w:rsidRPr="003F5B1F" w:rsidRDefault="00930C43" w:rsidP="000B7B0D"/>
    <w:p w14:paraId="1BD7ED78" w14:textId="77777777" w:rsidR="00FE5FBF" w:rsidRDefault="00FE5FBF" w:rsidP="00B46FAA">
      <w:pPr>
        <w:pStyle w:val="Ttulo2"/>
      </w:pPr>
      <w:bookmarkStart w:id="79" w:name="_Toc16087711"/>
    </w:p>
    <w:p w14:paraId="7C6339A1" w14:textId="7C6723DE" w:rsidR="00023002" w:rsidRDefault="003E4750" w:rsidP="00B46FAA">
      <w:pPr>
        <w:pStyle w:val="Ttulo2"/>
      </w:pPr>
      <w:r>
        <w:lastRenderedPageBreak/>
        <w:t>4</w:t>
      </w:r>
      <w:r w:rsidR="009215BC" w:rsidRPr="009215BC">
        <w:t>.3</w:t>
      </w:r>
      <w:r w:rsidR="00930C43">
        <w:t>.</w:t>
      </w:r>
      <w:r w:rsidR="009215BC" w:rsidRPr="009215BC">
        <w:t xml:space="preserve"> </w:t>
      </w:r>
      <w:r w:rsidR="00881FCC" w:rsidRPr="009215BC">
        <w:t>Gasto com investimento</w:t>
      </w:r>
      <w:bookmarkEnd w:id="79"/>
    </w:p>
    <w:p w14:paraId="0706922C" w14:textId="77777777" w:rsidR="00930C43" w:rsidRPr="00930C43" w:rsidRDefault="00930C43" w:rsidP="00930C43"/>
    <w:p w14:paraId="4830DB72" w14:textId="15BD2CA7" w:rsidR="00445F5B" w:rsidRDefault="00AB6BB4" w:rsidP="000B7B0D">
      <w:r w:rsidRPr="003F5B1F">
        <w:t>Relativamente ao</w:t>
      </w:r>
      <w:r w:rsidR="00A72C9C" w:rsidRPr="003F5B1F">
        <w:t xml:space="preserve"> âmbito federal, </w:t>
      </w:r>
      <w:r w:rsidR="009F01BF" w:rsidRPr="003F5B1F">
        <w:t>o RTN</w:t>
      </w:r>
      <w:r w:rsidR="00046271" w:rsidRPr="003F5B1F">
        <w:t xml:space="preserve"> traz o “Investimento</w:t>
      </w:r>
      <w:r w:rsidR="00445F5B" w:rsidRPr="003F5B1F">
        <w:t xml:space="preserve"> total</w:t>
      </w:r>
      <w:r w:rsidR="00046271" w:rsidRPr="003F5B1F">
        <w:t xml:space="preserve">” </w:t>
      </w:r>
      <w:r w:rsidR="00E35E50" w:rsidRPr="003F5B1F">
        <w:t>pago no ano</w:t>
      </w:r>
      <w:r w:rsidR="00046271" w:rsidRPr="003F5B1F">
        <w:t xml:space="preserve"> pelo Governo Federal</w:t>
      </w:r>
      <w:r w:rsidR="00965D2A" w:rsidRPr="003F5B1F">
        <w:t xml:space="preserve"> no montante</w:t>
      </w:r>
      <w:r w:rsidR="00094F3F" w:rsidRPr="003F5B1F">
        <w:t xml:space="preserve"> </w:t>
      </w:r>
      <w:r w:rsidR="00965D2A" w:rsidRPr="003F5B1F">
        <w:t>próximo a</w:t>
      </w:r>
      <w:r w:rsidR="00ED2ADA" w:rsidRPr="003F5B1F">
        <w:t xml:space="preserve"> R$ 46 bilhões</w:t>
      </w:r>
      <w:r w:rsidR="008D5594" w:rsidRPr="003F5B1F">
        <w:t xml:space="preserve"> (figura 16)</w:t>
      </w:r>
      <w:r w:rsidR="00650FD9" w:rsidRPr="003F5B1F">
        <w:t>, que inclui</w:t>
      </w:r>
      <w:r w:rsidR="00C3595F" w:rsidRPr="003F5B1F">
        <w:t xml:space="preserve">, além dos </w:t>
      </w:r>
      <w:r w:rsidR="00570BC6" w:rsidRPr="003F5B1F">
        <w:t>investimentos</w:t>
      </w:r>
      <w:r w:rsidR="00BC635B">
        <w:rPr>
          <w:rStyle w:val="Refdenotaderodap"/>
        </w:rPr>
        <w:footnoteReference w:id="8"/>
      </w:r>
      <w:r w:rsidR="00C3595F" w:rsidRPr="003F5B1F">
        <w:t xml:space="preserve">, algumas </w:t>
      </w:r>
      <w:r w:rsidR="00562E8E" w:rsidRPr="003F5B1F">
        <w:t xml:space="preserve">despesas </w:t>
      </w:r>
      <w:r w:rsidR="00506BFE" w:rsidRPr="003F5B1F">
        <w:t xml:space="preserve">primárias </w:t>
      </w:r>
      <w:r w:rsidR="00562E8E" w:rsidRPr="003F5B1F">
        <w:t xml:space="preserve">com </w:t>
      </w:r>
      <w:r w:rsidR="00570BC6" w:rsidRPr="003F5B1F">
        <w:t>inversão financeira</w:t>
      </w:r>
      <w:r w:rsidR="00641BBB">
        <w:rPr>
          <w:rStyle w:val="Refdenotaderodap"/>
        </w:rPr>
        <w:footnoteReference w:id="9"/>
      </w:r>
      <w:r w:rsidR="00562E8E" w:rsidRPr="003F5B1F">
        <w:t xml:space="preserve">. </w:t>
      </w:r>
      <w:r w:rsidR="00312E53" w:rsidRPr="003F5B1F">
        <w:t>Transferências a estados e municípios, a instituições privadas s</w:t>
      </w:r>
      <w:r w:rsidR="00C4604B" w:rsidRPr="003F5B1F">
        <w:t>em fins lucrativas</w:t>
      </w:r>
      <w:r w:rsidR="0071131E" w:rsidRPr="003F5B1F">
        <w:t>, programa “</w:t>
      </w:r>
      <w:r w:rsidR="00CB78AA" w:rsidRPr="003F5B1F">
        <w:t>Minha Casa Minha Vida”</w:t>
      </w:r>
      <w:r w:rsidR="00570BC6" w:rsidRPr="003F5B1F">
        <w:t xml:space="preserve"> </w:t>
      </w:r>
      <w:r w:rsidR="008D0035" w:rsidRPr="003F5B1F">
        <w:t xml:space="preserve">e despesas </w:t>
      </w:r>
      <w:proofErr w:type="spellStart"/>
      <w:r w:rsidR="008D0035" w:rsidRPr="003F5B1F">
        <w:t>intraorçamentárias</w:t>
      </w:r>
      <w:proofErr w:type="spellEnd"/>
      <w:r w:rsidR="00DD2F43" w:rsidRPr="003F5B1F">
        <w:t xml:space="preserve"> são considerad</w:t>
      </w:r>
      <w:r w:rsidR="00CE7985" w:rsidRPr="003F5B1F">
        <w:t>as</w:t>
      </w:r>
      <w:r w:rsidR="00DD2F43" w:rsidRPr="003F5B1F">
        <w:t xml:space="preserve"> investimentos </w:t>
      </w:r>
      <w:r w:rsidR="00A63613" w:rsidRPr="003F5B1F">
        <w:t>para o</w:t>
      </w:r>
      <w:r w:rsidR="00DD2F43" w:rsidRPr="003F5B1F">
        <w:t xml:space="preserve"> RTN. </w:t>
      </w:r>
      <w:r w:rsidR="00E11F7E" w:rsidRPr="003F5B1F">
        <w:t>Esses últimos exemplos</w:t>
      </w:r>
      <w:r w:rsidR="0013226B" w:rsidRPr="003F5B1F">
        <w:t xml:space="preserve"> marcam</w:t>
      </w:r>
      <w:r w:rsidR="00E11F7E" w:rsidRPr="003F5B1F">
        <w:t xml:space="preserve"> as principais diferenças para </w:t>
      </w:r>
      <w:r w:rsidR="00C22C72" w:rsidRPr="003F5B1F">
        <w:t>a rubrica “Aquisição de ativos não financeiros” encontrada</w:t>
      </w:r>
      <w:r w:rsidR="00E40D35" w:rsidRPr="003F5B1F">
        <w:t xml:space="preserve"> no D</w:t>
      </w:r>
      <w:r w:rsidR="003D7632" w:rsidRPr="003F5B1F">
        <w:t>emonstrativo de transações com ativos não financeiros do governo geral (</w:t>
      </w:r>
      <w:r w:rsidR="00311EFF" w:rsidRPr="003F5B1F">
        <w:t>D</w:t>
      </w:r>
      <w:r w:rsidR="0057172F" w:rsidRPr="003F5B1F">
        <w:t>TGG</w:t>
      </w:r>
      <w:r w:rsidR="002D66F5" w:rsidRPr="003F5B1F">
        <w:t>) das Estatísticas Fiscais Trimestrais</w:t>
      </w:r>
      <w:r w:rsidR="00DC1487" w:rsidRPr="003F5B1F">
        <w:t xml:space="preserve">, cuja </w:t>
      </w:r>
      <w:r w:rsidR="00A904C9" w:rsidRPr="003F5B1F">
        <w:t xml:space="preserve">quantia </w:t>
      </w:r>
      <w:r w:rsidR="00B46B95" w:rsidRPr="003F5B1F">
        <w:t xml:space="preserve">está em torno de R$ </w:t>
      </w:r>
      <w:r w:rsidR="00BB443C" w:rsidRPr="003F5B1F">
        <w:t>25 bilhões</w:t>
      </w:r>
      <w:r w:rsidR="0021634A" w:rsidRPr="003F5B1F">
        <w:t xml:space="preserve"> (figura 17)</w:t>
      </w:r>
      <w:r w:rsidR="00BB443C" w:rsidRPr="003F5B1F">
        <w:t>.</w:t>
      </w:r>
    </w:p>
    <w:p w14:paraId="677509F7" w14:textId="77777777" w:rsidR="00C03965" w:rsidRDefault="00C03965" w:rsidP="00C03965">
      <w:pPr>
        <w:jc w:val="center"/>
        <w:rPr>
          <w:b/>
        </w:rPr>
      </w:pPr>
    </w:p>
    <w:p w14:paraId="765E0700" w14:textId="6FD20775" w:rsidR="00C03965" w:rsidRPr="00C03965" w:rsidRDefault="00C03965" w:rsidP="00C03965">
      <w:pPr>
        <w:jc w:val="center"/>
        <w:rPr>
          <w:b/>
        </w:rPr>
      </w:pPr>
      <w:r w:rsidRPr="00C03965">
        <w:rPr>
          <w:b/>
        </w:rPr>
        <w:t>Figura 16 – Trecho do anexo do RTN com o investimento acumulado para o ano de 2017</w:t>
      </w:r>
    </w:p>
    <w:p w14:paraId="22B65A46" w14:textId="77777777" w:rsidR="005E389A" w:rsidRPr="003F5B1F" w:rsidRDefault="00445F5B" w:rsidP="00C03965">
      <w:pPr>
        <w:jc w:val="center"/>
      </w:pPr>
      <w:r w:rsidRPr="003F5B1F">
        <w:rPr>
          <w:noProof/>
        </w:rPr>
        <w:drawing>
          <wp:inline distT="0" distB="0" distL="0" distR="0" wp14:anchorId="3213F065" wp14:editId="0B0213CD">
            <wp:extent cx="5286375" cy="1628775"/>
            <wp:effectExtent l="19050" t="19050" r="28575" b="2857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86375" cy="1628775"/>
                    </a:xfrm>
                    <a:prstGeom prst="rect">
                      <a:avLst/>
                    </a:prstGeom>
                    <a:ln w="12700">
                      <a:solidFill>
                        <a:schemeClr val="bg2">
                          <a:lumMod val="90000"/>
                        </a:schemeClr>
                      </a:solidFill>
                    </a:ln>
                  </pic:spPr>
                </pic:pic>
              </a:graphicData>
            </a:graphic>
          </wp:inline>
        </w:drawing>
      </w:r>
    </w:p>
    <w:p w14:paraId="348692BE" w14:textId="2C3E9668" w:rsidR="00286D50" w:rsidRDefault="00C03965" w:rsidP="000B7B0D">
      <w:pPr>
        <w:rPr>
          <w:rStyle w:val="SubttuloChar"/>
        </w:rPr>
      </w:pPr>
      <w:r w:rsidRPr="005B1B96">
        <w:rPr>
          <w:rStyle w:val="SubttuloChar"/>
        </w:rPr>
        <w:t>Fonte: Secretaria do Tesouro Nacional</w:t>
      </w:r>
    </w:p>
    <w:p w14:paraId="7BD53FD3" w14:textId="77777777" w:rsidR="00F13767" w:rsidRDefault="00F13767" w:rsidP="00F13767"/>
    <w:p w14:paraId="53B5F178" w14:textId="77777777" w:rsidR="00480E41" w:rsidRDefault="00480E41" w:rsidP="00F13767">
      <w:pPr>
        <w:jc w:val="center"/>
        <w:rPr>
          <w:b/>
        </w:rPr>
      </w:pPr>
    </w:p>
    <w:p w14:paraId="63E9F72D" w14:textId="77777777" w:rsidR="00480E41" w:rsidRDefault="00480E41" w:rsidP="00F13767">
      <w:pPr>
        <w:jc w:val="center"/>
        <w:rPr>
          <w:b/>
        </w:rPr>
      </w:pPr>
    </w:p>
    <w:p w14:paraId="5459A15F" w14:textId="77777777" w:rsidR="00480E41" w:rsidRDefault="00480E41" w:rsidP="00F13767">
      <w:pPr>
        <w:jc w:val="center"/>
        <w:rPr>
          <w:b/>
        </w:rPr>
      </w:pPr>
    </w:p>
    <w:p w14:paraId="7F4F0B68" w14:textId="77777777" w:rsidR="00480E41" w:rsidRDefault="00480E41" w:rsidP="00F13767">
      <w:pPr>
        <w:jc w:val="center"/>
        <w:rPr>
          <w:b/>
        </w:rPr>
      </w:pPr>
    </w:p>
    <w:p w14:paraId="781CDC75" w14:textId="0D909920" w:rsidR="00C03965" w:rsidRPr="00F13767" w:rsidRDefault="00F13767" w:rsidP="00F13767">
      <w:pPr>
        <w:jc w:val="center"/>
        <w:rPr>
          <w:b/>
        </w:rPr>
      </w:pPr>
      <w:r w:rsidRPr="00F13767">
        <w:rPr>
          <w:b/>
        </w:rPr>
        <w:lastRenderedPageBreak/>
        <w:t>Figura 17</w:t>
      </w:r>
      <w:r>
        <w:rPr>
          <w:b/>
        </w:rPr>
        <w:t xml:space="preserve"> –</w:t>
      </w:r>
      <w:r w:rsidRPr="00F13767">
        <w:rPr>
          <w:b/>
        </w:rPr>
        <w:t xml:space="preserve"> Trecho do anexo do DTGG do Governo Central Consolidado, por trimestre, no ano de 2017</w:t>
      </w:r>
    </w:p>
    <w:p w14:paraId="64464E65" w14:textId="58F55FFE" w:rsidR="00151AAB" w:rsidRPr="003F5B1F" w:rsidRDefault="00151AAB" w:rsidP="000B7B0D">
      <w:r w:rsidRPr="003F5B1F">
        <w:rPr>
          <w:noProof/>
        </w:rPr>
        <w:drawing>
          <wp:inline distT="0" distB="0" distL="0" distR="0" wp14:anchorId="1E912CD8" wp14:editId="5C0B80E9">
            <wp:extent cx="5286375" cy="1552575"/>
            <wp:effectExtent l="19050" t="19050" r="28575" b="285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86375" cy="1552575"/>
                    </a:xfrm>
                    <a:prstGeom prst="rect">
                      <a:avLst/>
                    </a:prstGeom>
                    <a:ln w="12700">
                      <a:solidFill>
                        <a:schemeClr val="bg2">
                          <a:lumMod val="90000"/>
                        </a:schemeClr>
                      </a:solidFill>
                    </a:ln>
                  </pic:spPr>
                </pic:pic>
              </a:graphicData>
            </a:graphic>
          </wp:inline>
        </w:drawing>
      </w:r>
    </w:p>
    <w:p w14:paraId="12B1491F" w14:textId="77777777" w:rsidR="00F13767" w:rsidRDefault="00F13767" w:rsidP="00F13767">
      <w:pPr>
        <w:rPr>
          <w:rStyle w:val="SubttuloChar"/>
        </w:rPr>
      </w:pPr>
      <w:r w:rsidRPr="005B1B96">
        <w:rPr>
          <w:rStyle w:val="SubttuloChar"/>
        </w:rPr>
        <w:t>Fonte: Secretaria do Tesouro Nacional</w:t>
      </w:r>
    </w:p>
    <w:p w14:paraId="0CD3B3DC" w14:textId="77777777" w:rsidR="00F13767" w:rsidRDefault="00F13767" w:rsidP="000B7B0D"/>
    <w:p w14:paraId="17E248AA" w14:textId="3D6C7CB2" w:rsidR="000E5A68" w:rsidRPr="003F5B1F" w:rsidRDefault="000929DF" w:rsidP="000B7B0D">
      <w:r w:rsidRPr="003F5B1F">
        <w:t xml:space="preserve">Para que não se incorra </w:t>
      </w:r>
      <w:r w:rsidR="00055767" w:rsidRPr="003F5B1F">
        <w:t xml:space="preserve">em mais dificuldades na conciliação </w:t>
      </w:r>
      <w:r w:rsidR="005240B8" w:rsidRPr="003F5B1F">
        <w:t>dos números das duas publicações, d</w:t>
      </w:r>
      <w:r w:rsidR="00974CF5" w:rsidRPr="003F5B1F">
        <w:t xml:space="preserve">eve se atentar </w:t>
      </w:r>
      <w:r w:rsidR="00EB47F5" w:rsidRPr="003F5B1F">
        <w:t>par</w:t>
      </w:r>
      <w:r w:rsidR="002B0CBF" w:rsidRPr="003F5B1F">
        <w:t>a o fato de que</w:t>
      </w:r>
      <w:r w:rsidR="000E5A68" w:rsidRPr="003F5B1F">
        <w:t xml:space="preserve"> a palavra investimento aparece na expressão “Investimento líquido em ativos não financeiros” no </w:t>
      </w:r>
      <w:r w:rsidR="00BB15F5" w:rsidRPr="003F5B1F">
        <w:t>D</w:t>
      </w:r>
      <w:r w:rsidR="002D66F5" w:rsidRPr="003F5B1F">
        <w:t>T</w:t>
      </w:r>
      <w:r w:rsidR="00E26A14" w:rsidRPr="003F5B1F">
        <w:t>GG. No entanto, para o exercício de 2017, ele apresenta o valor negativo de R$</w:t>
      </w:r>
      <w:r w:rsidR="00525190" w:rsidRPr="003F5B1F">
        <w:t xml:space="preserve"> 16</w:t>
      </w:r>
      <w:r w:rsidR="009B2FF2" w:rsidRPr="003F5B1F">
        <w:t xml:space="preserve"> bilhões</w:t>
      </w:r>
      <w:r w:rsidR="00DD7B53" w:rsidRPr="003F5B1F">
        <w:t xml:space="preserve"> (figura 17)</w:t>
      </w:r>
      <w:r w:rsidR="00A75A93" w:rsidRPr="003F5B1F">
        <w:t xml:space="preserve">, </w:t>
      </w:r>
      <w:r w:rsidR="000F1ED7" w:rsidRPr="003F5B1F">
        <w:t>pois</w:t>
      </w:r>
      <w:r w:rsidR="00F92690" w:rsidRPr="003F5B1F">
        <w:t xml:space="preserve"> </w:t>
      </w:r>
      <w:r w:rsidR="008210B2" w:rsidRPr="003F5B1F">
        <w:t>o investimento líquido é calculado como aquisiç</w:t>
      </w:r>
      <w:r w:rsidR="004E7002" w:rsidRPr="003F5B1F">
        <w:t xml:space="preserve">ões menos alienações menos </w:t>
      </w:r>
      <w:r w:rsidRPr="003F5B1F">
        <w:t xml:space="preserve">consumo de capital fixo. </w:t>
      </w:r>
      <w:r w:rsidR="000E5A68" w:rsidRPr="003F5B1F">
        <w:t xml:space="preserve"> </w:t>
      </w:r>
    </w:p>
    <w:p w14:paraId="3D200A55" w14:textId="38AE3BD0" w:rsidR="00CA737E" w:rsidRDefault="00E9442F" w:rsidP="000B7B0D">
      <w:r w:rsidRPr="003F5B1F">
        <w:t xml:space="preserve">No que tange à esfera estadual, </w:t>
      </w:r>
      <w:r w:rsidR="00A6518F" w:rsidRPr="003F5B1F">
        <w:t>o Boletim dos Entes Subnacionais</w:t>
      </w:r>
      <w:r w:rsidR="00CD249E" w:rsidRPr="003F5B1F">
        <w:t xml:space="preserve"> informa R$ 34 bilhões</w:t>
      </w:r>
      <w:r w:rsidR="0038330C" w:rsidRPr="003F5B1F">
        <w:t xml:space="preserve"> (figura 18)</w:t>
      </w:r>
      <w:r w:rsidR="00C93A92" w:rsidRPr="003F5B1F">
        <w:t xml:space="preserve"> como sendo o</w:t>
      </w:r>
      <w:r w:rsidR="00BC5800" w:rsidRPr="003F5B1F">
        <w:t>s</w:t>
      </w:r>
      <w:r w:rsidR="00C93A92" w:rsidRPr="003F5B1F">
        <w:t xml:space="preserve"> “Investimento</w:t>
      </w:r>
      <w:r w:rsidR="00BC5800" w:rsidRPr="003F5B1F">
        <w:t>s</w:t>
      </w:r>
      <w:r w:rsidR="00C93A92" w:rsidRPr="003F5B1F">
        <w:t xml:space="preserve">” </w:t>
      </w:r>
      <w:r w:rsidR="00A45313" w:rsidRPr="003F5B1F">
        <w:t>efetivado</w:t>
      </w:r>
      <w:r w:rsidR="00B2030B" w:rsidRPr="003F5B1F">
        <w:t>s</w:t>
      </w:r>
      <w:r w:rsidR="00A45313" w:rsidRPr="003F5B1F">
        <w:t xml:space="preserve"> pelos</w:t>
      </w:r>
      <w:r w:rsidR="00C93A92" w:rsidRPr="003F5B1F">
        <w:t xml:space="preserve"> estados, não </w:t>
      </w:r>
      <w:r w:rsidR="00211E93" w:rsidRPr="003F5B1F">
        <w:t xml:space="preserve">incorporando na soma </w:t>
      </w:r>
      <w:r w:rsidR="009D435C" w:rsidRPr="003F5B1F">
        <w:t xml:space="preserve">as despesas com inversão financeira. </w:t>
      </w:r>
      <w:r w:rsidR="0075730E" w:rsidRPr="003F5B1F">
        <w:t xml:space="preserve">De forma semelhante em sua composição, o </w:t>
      </w:r>
      <w:r w:rsidR="00B1622C" w:rsidRPr="003F5B1F">
        <w:t>D</w:t>
      </w:r>
      <w:r w:rsidR="002D66F5" w:rsidRPr="003F5B1F">
        <w:t>T</w:t>
      </w:r>
      <w:r w:rsidR="0075730E" w:rsidRPr="003F5B1F">
        <w:t>GG</w:t>
      </w:r>
      <w:r w:rsidR="005A6A86" w:rsidRPr="003F5B1F">
        <w:t xml:space="preserve"> reporta </w:t>
      </w:r>
      <w:r w:rsidR="00FE1A0A" w:rsidRPr="003F5B1F">
        <w:t>o valor de</w:t>
      </w:r>
      <w:r w:rsidR="00741D92" w:rsidRPr="003F5B1F">
        <w:t xml:space="preserve"> quase</w:t>
      </w:r>
      <w:r w:rsidR="00FE1A0A" w:rsidRPr="003F5B1F">
        <w:t xml:space="preserve"> R$ 33 </w:t>
      </w:r>
      <w:r w:rsidR="00741D92" w:rsidRPr="003F5B1F">
        <w:t>bilhões na linha “Aquisição de ativos não financeiros”</w:t>
      </w:r>
      <w:r w:rsidR="00A20771" w:rsidRPr="003F5B1F">
        <w:t xml:space="preserve"> (figura 19)</w:t>
      </w:r>
      <w:r w:rsidR="00476996" w:rsidRPr="003F5B1F">
        <w:t>.</w:t>
      </w:r>
      <w:r w:rsidR="003E3140" w:rsidRPr="003F5B1F">
        <w:t xml:space="preserve"> </w:t>
      </w:r>
      <w:r w:rsidR="00895F92" w:rsidRPr="003F5B1F">
        <w:t xml:space="preserve">Caso se leve em consideração as alienações e </w:t>
      </w:r>
      <w:r w:rsidR="00827CA6" w:rsidRPr="003F5B1F">
        <w:t>a depreciação do capital fixo</w:t>
      </w:r>
      <w:r w:rsidR="003E3140" w:rsidRPr="003F5B1F">
        <w:t xml:space="preserve">, ainda no </w:t>
      </w:r>
      <w:r w:rsidR="00B1622C" w:rsidRPr="003F5B1F">
        <w:t>D</w:t>
      </w:r>
      <w:r w:rsidR="00CC7A1E" w:rsidRPr="003F5B1F">
        <w:t xml:space="preserve">TGG, </w:t>
      </w:r>
      <w:r w:rsidR="000732FF" w:rsidRPr="003F5B1F">
        <w:t xml:space="preserve">esbarra-se com </w:t>
      </w:r>
      <w:r w:rsidR="00CC7A1E" w:rsidRPr="003F5B1F">
        <w:t>o valor negativo de R$ 5 bilhões como “Investimento líquido em ativos não financeiros”</w:t>
      </w:r>
      <w:r w:rsidR="005B4435" w:rsidRPr="003F5B1F">
        <w:t xml:space="preserve"> (figura 19)</w:t>
      </w:r>
      <w:r w:rsidR="00CC7A1E" w:rsidRPr="003F5B1F">
        <w:t>.</w:t>
      </w:r>
    </w:p>
    <w:p w14:paraId="6148346B" w14:textId="2A0FE19C" w:rsidR="006E67F9" w:rsidRDefault="006E67F9" w:rsidP="000B7B0D"/>
    <w:p w14:paraId="32453BA9" w14:textId="77777777" w:rsidR="006E67F9" w:rsidRDefault="006E67F9" w:rsidP="006E67F9">
      <w:pPr>
        <w:jc w:val="center"/>
        <w:rPr>
          <w:b/>
        </w:rPr>
      </w:pPr>
    </w:p>
    <w:p w14:paraId="3D69DD03" w14:textId="77777777" w:rsidR="006E67F9" w:rsidRDefault="006E67F9" w:rsidP="006E67F9">
      <w:pPr>
        <w:jc w:val="center"/>
        <w:rPr>
          <w:b/>
        </w:rPr>
      </w:pPr>
    </w:p>
    <w:p w14:paraId="2C25C691" w14:textId="77777777" w:rsidR="006E67F9" w:rsidRDefault="006E67F9" w:rsidP="006E67F9">
      <w:pPr>
        <w:jc w:val="center"/>
        <w:rPr>
          <w:b/>
        </w:rPr>
      </w:pPr>
    </w:p>
    <w:p w14:paraId="5C76B68B" w14:textId="77777777" w:rsidR="006E67F9" w:rsidRDefault="006E67F9" w:rsidP="006E67F9">
      <w:pPr>
        <w:jc w:val="center"/>
        <w:rPr>
          <w:b/>
        </w:rPr>
      </w:pPr>
    </w:p>
    <w:p w14:paraId="7DB1516E" w14:textId="77777777" w:rsidR="006E67F9" w:rsidRDefault="006E67F9" w:rsidP="006E67F9">
      <w:pPr>
        <w:jc w:val="center"/>
        <w:rPr>
          <w:b/>
        </w:rPr>
      </w:pPr>
    </w:p>
    <w:p w14:paraId="59DE288B" w14:textId="77777777" w:rsidR="006E67F9" w:rsidRDefault="006E67F9" w:rsidP="006E67F9">
      <w:pPr>
        <w:jc w:val="center"/>
        <w:rPr>
          <w:b/>
        </w:rPr>
      </w:pPr>
    </w:p>
    <w:p w14:paraId="622AA6E3" w14:textId="77777777" w:rsidR="006E67F9" w:rsidRDefault="006E67F9" w:rsidP="006E67F9">
      <w:pPr>
        <w:jc w:val="center"/>
        <w:rPr>
          <w:b/>
        </w:rPr>
      </w:pPr>
    </w:p>
    <w:p w14:paraId="5A1A9E23" w14:textId="77777777" w:rsidR="006E67F9" w:rsidRDefault="006E67F9" w:rsidP="006E67F9">
      <w:pPr>
        <w:jc w:val="center"/>
        <w:rPr>
          <w:b/>
        </w:rPr>
      </w:pPr>
    </w:p>
    <w:p w14:paraId="685DB8EB" w14:textId="77777777" w:rsidR="006E67F9" w:rsidRDefault="006E67F9" w:rsidP="006E67F9">
      <w:pPr>
        <w:jc w:val="center"/>
        <w:rPr>
          <w:b/>
        </w:rPr>
      </w:pPr>
    </w:p>
    <w:p w14:paraId="0CA8FE50" w14:textId="77777777" w:rsidR="006E67F9" w:rsidRDefault="006E67F9" w:rsidP="006E67F9">
      <w:pPr>
        <w:jc w:val="center"/>
        <w:rPr>
          <w:b/>
        </w:rPr>
      </w:pPr>
    </w:p>
    <w:p w14:paraId="76746E84" w14:textId="3027DF06" w:rsidR="006E67F9" w:rsidRPr="006E67F9" w:rsidRDefault="006E67F9" w:rsidP="006E67F9">
      <w:pPr>
        <w:jc w:val="center"/>
        <w:rPr>
          <w:b/>
        </w:rPr>
      </w:pPr>
      <w:r w:rsidRPr="006E67F9">
        <w:rPr>
          <w:b/>
        </w:rPr>
        <w:lastRenderedPageBreak/>
        <w:t>Figura 18</w:t>
      </w:r>
      <w:r>
        <w:rPr>
          <w:b/>
        </w:rPr>
        <w:t xml:space="preserve"> –</w:t>
      </w:r>
      <w:r w:rsidRPr="006E67F9">
        <w:rPr>
          <w:b/>
        </w:rPr>
        <w:t xml:space="preserve"> Resultado primário dos estados, em relação ao exercício de 2017, no Boletim dos Entes Subnacionais, sob a ótica de caixa</w:t>
      </w:r>
    </w:p>
    <w:p w14:paraId="29BD7823" w14:textId="442916BD" w:rsidR="00586DF2" w:rsidRPr="003F5B1F" w:rsidRDefault="00586DF2" w:rsidP="006E67F9">
      <w:pPr>
        <w:jc w:val="center"/>
      </w:pPr>
      <w:r w:rsidRPr="003F5B1F">
        <w:rPr>
          <w:noProof/>
        </w:rPr>
        <w:drawing>
          <wp:inline distT="0" distB="0" distL="0" distR="0" wp14:anchorId="775A21F4" wp14:editId="67555A1C">
            <wp:extent cx="5286375" cy="5466080"/>
            <wp:effectExtent l="19050" t="19050" r="28575" b="1905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86375" cy="5466080"/>
                    </a:xfrm>
                    <a:prstGeom prst="rect">
                      <a:avLst/>
                    </a:prstGeom>
                    <a:ln w="12700">
                      <a:solidFill>
                        <a:schemeClr val="bg2">
                          <a:lumMod val="90000"/>
                        </a:schemeClr>
                      </a:solidFill>
                    </a:ln>
                  </pic:spPr>
                </pic:pic>
              </a:graphicData>
            </a:graphic>
          </wp:inline>
        </w:drawing>
      </w:r>
    </w:p>
    <w:p w14:paraId="2E38D454" w14:textId="55365C4D" w:rsidR="006E67F9" w:rsidRDefault="006E67F9" w:rsidP="006E67F9">
      <w:pPr>
        <w:rPr>
          <w:rStyle w:val="SubttuloChar"/>
        </w:rPr>
      </w:pPr>
      <w:r w:rsidRPr="005B1B96">
        <w:rPr>
          <w:rStyle w:val="SubttuloChar"/>
        </w:rPr>
        <w:t>Fonte: Secretaria do Tesouro Nacional</w:t>
      </w:r>
    </w:p>
    <w:p w14:paraId="217FE23F" w14:textId="26D89C49" w:rsidR="006E67F9" w:rsidRDefault="006E67F9" w:rsidP="006E67F9">
      <w:pPr>
        <w:rPr>
          <w:rStyle w:val="SubttuloChar"/>
        </w:rPr>
      </w:pPr>
    </w:p>
    <w:p w14:paraId="5EF0638D" w14:textId="386C9DC6" w:rsidR="006E67F9" w:rsidRPr="006E67F9" w:rsidRDefault="006E67F9" w:rsidP="006E67F9">
      <w:pPr>
        <w:jc w:val="center"/>
        <w:rPr>
          <w:rStyle w:val="SubttuloChar"/>
          <w:rFonts w:eastAsiaTheme="minorHAnsi"/>
          <w:b/>
          <w:sz w:val="24"/>
          <w:szCs w:val="24"/>
        </w:rPr>
      </w:pPr>
      <w:r w:rsidRPr="006E67F9">
        <w:rPr>
          <w:b/>
        </w:rPr>
        <w:t>Figura 19 – Trecho do anexo do DTGG dos Governos Estaduais, por trimestre, no ano de 2017</w:t>
      </w:r>
    </w:p>
    <w:p w14:paraId="5078F635" w14:textId="475DCECE" w:rsidR="00992ABC" w:rsidRPr="003F5B1F" w:rsidRDefault="006D44C5" w:rsidP="006E67F9">
      <w:pPr>
        <w:jc w:val="center"/>
      </w:pPr>
      <w:r w:rsidRPr="003F5B1F">
        <w:rPr>
          <w:noProof/>
        </w:rPr>
        <w:drawing>
          <wp:inline distT="0" distB="0" distL="0" distR="0" wp14:anchorId="460B3B8B" wp14:editId="4808BACD">
            <wp:extent cx="5286375" cy="1439545"/>
            <wp:effectExtent l="19050" t="19050" r="28575" b="2730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86375" cy="1439545"/>
                    </a:xfrm>
                    <a:prstGeom prst="rect">
                      <a:avLst/>
                    </a:prstGeom>
                    <a:ln w="12700">
                      <a:solidFill>
                        <a:schemeClr val="bg2">
                          <a:lumMod val="90000"/>
                        </a:schemeClr>
                      </a:solidFill>
                    </a:ln>
                  </pic:spPr>
                </pic:pic>
              </a:graphicData>
            </a:graphic>
          </wp:inline>
        </w:drawing>
      </w:r>
    </w:p>
    <w:p w14:paraId="0CC43E7C" w14:textId="77777777" w:rsidR="006E67F9" w:rsidRDefault="006E67F9" w:rsidP="006E67F9">
      <w:pPr>
        <w:rPr>
          <w:rStyle w:val="SubttuloChar"/>
        </w:rPr>
      </w:pPr>
      <w:r w:rsidRPr="005B1B96">
        <w:rPr>
          <w:rStyle w:val="SubttuloChar"/>
        </w:rPr>
        <w:t>Fonte: Secretaria do Tesouro Nacional</w:t>
      </w:r>
    </w:p>
    <w:p w14:paraId="216A02C2" w14:textId="0F396EC9" w:rsidR="00476996" w:rsidRDefault="00476996" w:rsidP="000B7B0D">
      <w:r w:rsidRPr="003F5B1F">
        <w:lastRenderedPageBreak/>
        <w:t xml:space="preserve">Em se tratando de cidades, </w:t>
      </w:r>
      <w:r w:rsidR="004C1887" w:rsidRPr="003F5B1F">
        <w:t>o “Investimento</w:t>
      </w:r>
      <w:r w:rsidR="00C86362" w:rsidRPr="003F5B1F">
        <w:t>s</w:t>
      </w:r>
      <w:r w:rsidR="004C1887" w:rsidRPr="003F5B1F">
        <w:t xml:space="preserve">” </w:t>
      </w:r>
      <w:r w:rsidR="00767856" w:rsidRPr="003F5B1F">
        <w:t>apresentado pelo Boletim segue as mesmas regras do mostrado para os estados</w:t>
      </w:r>
      <w:r w:rsidR="00CE30F8" w:rsidRPr="003F5B1F">
        <w:t xml:space="preserve">. Para os municípios, </w:t>
      </w:r>
      <w:r w:rsidR="000203E7" w:rsidRPr="003F5B1F">
        <w:t xml:space="preserve">o </w:t>
      </w:r>
      <w:r w:rsidR="0070351E" w:rsidRPr="003F5B1F">
        <w:t xml:space="preserve">valor </w:t>
      </w:r>
      <w:r w:rsidR="00BB3A77" w:rsidRPr="003F5B1F">
        <w:t>é pouco superior a R$ 25 bilhões</w:t>
      </w:r>
      <w:r w:rsidR="009A6B6B" w:rsidRPr="003F5B1F">
        <w:t xml:space="preserve"> (figura 13)</w:t>
      </w:r>
      <w:r w:rsidR="0027066F" w:rsidRPr="003F5B1F">
        <w:t xml:space="preserve">. O </w:t>
      </w:r>
      <w:r w:rsidR="00853D57" w:rsidRPr="003F5B1F">
        <w:t>D</w:t>
      </w:r>
      <w:r w:rsidR="0027066F" w:rsidRPr="003F5B1F">
        <w:t>TGG</w:t>
      </w:r>
      <w:r w:rsidR="000C2A40" w:rsidRPr="003F5B1F">
        <w:t xml:space="preserve"> das Estatísticas Ficais Trimestrais, que </w:t>
      </w:r>
      <w:r w:rsidR="0068024B" w:rsidRPr="003F5B1F">
        <w:t>faz a estimativa da totalidade da municipalidade, expressa</w:t>
      </w:r>
      <w:r w:rsidR="00BB26DD" w:rsidRPr="003F5B1F">
        <w:t>, de forma aproximada,</w:t>
      </w:r>
      <w:r w:rsidR="0068024B" w:rsidRPr="003F5B1F">
        <w:t xml:space="preserve"> R$</w:t>
      </w:r>
      <w:r w:rsidR="00BB26DD" w:rsidRPr="003F5B1F">
        <w:t xml:space="preserve"> 23 bilhões </w:t>
      </w:r>
      <w:r w:rsidR="00387CEA" w:rsidRPr="003F5B1F">
        <w:t xml:space="preserve">(figura 20) </w:t>
      </w:r>
      <w:r w:rsidR="00BB26DD" w:rsidRPr="003F5B1F">
        <w:t xml:space="preserve">na linha “Aquisição de ativos não financeiros”. </w:t>
      </w:r>
      <w:r w:rsidR="006A4A90" w:rsidRPr="003F5B1F">
        <w:t>Adicionalmente, o investimento líquido seria negativo de R$ 10 bilhões</w:t>
      </w:r>
      <w:r w:rsidR="00387CEA" w:rsidRPr="003F5B1F">
        <w:t xml:space="preserve"> (figura 20)</w:t>
      </w:r>
      <w:r w:rsidR="006A4A90" w:rsidRPr="003F5B1F">
        <w:t>.</w:t>
      </w:r>
      <w:r w:rsidR="0068024B" w:rsidRPr="003F5B1F">
        <w:t xml:space="preserve"> </w:t>
      </w:r>
    </w:p>
    <w:p w14:paraId="4F2FE674" w14:textId="77777777" w:rsidR="006E67F9" w:rsidRDefault="006E67F9" w:rsidP="000B7B0D"/>
    <w:p w14:paraId="4395C186" w14:textId="000D0BAB" w:rsidR="006E67F9" w:rsidRPr="003F5B1F" w:rsidRDefault="006E67F9" w:rsidP="006E67F9">
      <w:pPr>
        <w:jc w:val="center"/>
      </w:pPr>
      <w:r w:rsidRPr="006E67F9">
        <w:rPr>
          <w:b/>
        </w:rPr>
        <w:t>Figura 20 – Trecho do anexo do DTGG dos Governos Municipais, por trimestre, no ano de 2017</w:t>
      </w:r>
    </w:p>
    <w:p w14:paraId="4D7B865C" w14:textId="0BD9CF45" w:rsidR="00790733" w:rsidRPr="003F5B1F" w:rsidRDefault="00BB305D" w:rsidP="000B7B0D">
      <w:r w:rsidRPr="003F5B1F">
        <w:rPr>
          <w:noProof/>
        </w:rPr>
        <w:drawing>
          <wp:inline distT="0" distB="0" distL="0" distR="0" wp14:anchorId="3DF14184" wp14:editId="383D42E6">
            <wp:extent cx="5276850" cy="1440815"/>
            <wp:effectExtent l="19050" t="19050" r="19050" b="2603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6850" cy="1440815"/>
                    </a:xfrm>
                    <a:prstGeom prst="rect">
                      <a:avLst/>
                    </a:prstGeom>
                    <a:ln w="12700">
                      <a:solidFill>
                        <a:schemeClr val="bg2">
                          <a:lumMod val="90000"/>
                        </a:schemeClr>
                      </a:solidFill>
                    </a:ln>
                  </pic:spPr>
                </pic:pic>
              </a:graphicData>
            </a:graphic>
          </wp:inline>
        </w:drawing>
      </w:r>
    </w:p>
    <w:p w14:paraId="5CD25550" w14:textId="0C1FC637" w:rsidR="006E67F9" w:rsidRDefault="006E67F9" w:rsidP="006E67F9">
      <w:pPr>
        <w:rPr>
          <w:rStyle w:val="SubttuloChar"/>
        </w:rPr>
      </w:pPr>
      <w:r w:rsidRPr="005B1B96">
        <w:rPr>
          <w:rStyle w:val="SubttuloChar"/>
        </w:rPr>
        <w:t>Fonte: Secretaria do Tesouro Nacional</w:t>
      </w:r>
    </w:p>
    <w:p w14:paraId="3A03F1E4" w14:textId="77777777" w:rsidR="006E67F9" w:rsidRDefault="006E67F9" w:rsidP="006E67F9">
      <w:pPr>
        <w:rPr>
          <w:rStyle w:val="SubttuloChar"/>
        </w:rPr>
      </w:pPr>
    </w:p>
    <w:p w14:paraId="7105C6BB" w14:textId="2FF95C8F" w:rsidR="00F207F5" w:rsidRDefault="003E4750" w:rsidP="00B46FAA">
      <w:pPr>
        <w:pStyle w:val="Ttulo2"/>
      </w:pPr>
      <w:bookmarkStart w:id="80" w:name="_Toc16087712"/>
      <w:r>
        <w:t>4</w:t>
      </w:r>
      <w:r w:rsidR="00F207F5" w:rsidRPr="009215BC">
        <w:t>.4</w:t>
      </w:r>
      <w:r w:rsidR="006E67F9">
        <w:t>.</w:t>
      </w:r>
      <w:r w:rsidR="00F207F5" w:rsidRPr="009215BC">
        <w:t xml:space="preserve"> </w:t>
      </w:r>
      <w:r w:rsidR="00A76B6D">
        <w:t>Quadros-r</w:t>
      </w:r>
      <w:r w:rsidR="00F207F5" w:rsidRPr="009215BC">
        <w:t>esumo</w:t>
      </w:r>
      <w:r w:rsidR="00053580" w:rsidRPr="009215BC">
        <w:t xml:space="preserve"> das informações apresentadas</w:t>
      </w:r>
      <w:bookmarkEnd w:id="80"/>
    </w:p>
    <w:p w14:paraId="1A0DC4FC" w14:textId="77777777" w:rsidR="00A76B6D" w:rsidRPr="00A76B6D" w:rsidRDefault="00A76B6D" w:rsidP="00A76B6D"/>
    <w:p w14:paraId="2BB2D6ED" w14:textId="43501300" w:rsidR="005143CD" w:rsidRPr="00A76B6D" w:rsidRDefault="001B0620" w:rsidP="00A76B6D">
      <w:pPr>
        <w:jc w:val="center"/>
        <w:rPr>
          <w:b/>
        </w:rPr>
      </w:pPr>
      <w:r w:rsidRPr="00A76B6D">
        <w:rPr>
          <w:b/>
        </w:rPr>
        <w:t xml:space="preserve">Quadro </w:t>
      </w:r>
      <w:r w:rsidR="00A76B6D" w:rsidRPr="00A76B6D">
        <w:rPr>
          <w:b/>
        </w:rPr>
        <w:t xml:space="preserve">I – </w:t>
      </w:r>
      <w:r w:rsidR="00B56681">
        <w:rPr>
          <w:b/>
        </w:rPr>
        <w:t>Síntese das nomenclaturas e valores da</w:t>
      </w:r>
      <w:r w:rsidR="00E00371">
        <w:rPr>
          <w:b/>
        </w:rPr>
        <w:t>s</w:t>
      </w:r>
      <w:r w:rsidR="00B56681">
        <w:rPr>
          <w:b/>
        </w:rPr>
        <w:t xml:space="preserve"> informações de pessoal </w:t>
      </w:r>
      <w:r w:rsidR="007F695D">
        <w:rPr>
          <w:b/>
        </w:rPr>
        <w:t>apuradas</w:t>
      </w:r>
      <w:r w:rsidR="008F391A">
        <w:rPr>
          <w:b/>
        </w:rPr>
        <w:t xml:space="preserve"> dos relatórios</w:t>
      </w:r>
    </w:p>
    <w:tbl>
      <w:tblPr>
        <w:tblW w:w="9105" w:type="dxa"/>
        <w:jc w:val="center"/>
        <w:tblCellMar>
          <w:left w:w="70" w:type="dxa"/>
          <w:right w:w="70" w:type="dxa"/>
        </w:tblCellMar>
        <w:tblLook w:val="04A0" w:firstRow="1" w:lastRow="0" w:firstColumn="1" w:lastColumn="0" w:noHBand="0" w:noVBand="1"/>
      </w:tblPr>
      <w:tblGrid>
        <w:gridCol w:w="1119"/>
        <w:gridCol w:w="3544"/>
        <w:gridCol w:w="3402"/>
        <w:gridCol w:w="1040"/>
      </w:tblGrid>
      <w:tr w:rsidR="00930213" w:rsidRPr="00FF4493" w14:paraId="1B4B511C" w14:textId="77777777" w:rsidTr="00CC7A25">
        <w:trPr>
          <w:trHeight w:val="261"/>
          <w:jc w:val="center"/>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4D8C98" w14:textId="50A8CC9C" w:rsidR="00D17F7D" w:rsidRPr="00CC7A25" w:rsidRDefault="008F391A" w:rsidP="00693694">
            <w:pPr>
              <w:ind w:firstLine="0"/>
              <w:jc w:val="left"/>
              <w:rPr>
                <w:b/>
                <w:sz w:val="22"/>
                <w:lang w:eastAsia="pt-BR"/>
              </w:rPr>
            </w:pPr>
            <w:r w:rsidRPr="00CC7A25">
              <w:rPr>
                <w:b/>
                <w:sz w:val="22"/>
                <w:lang w:eastAsia="pt-BR"/>
              </w:rPr>
              <w:t>ESFERA</w:t>
            </w:r>
          </w:p>
        </w:tc>
        <w:tc>
          <w:tcPr>
            <w:tcW w:w="354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177711" w14:textId="77777777" w:rsidR="00D17F7D" w:rsidRPr="00CC7A25" w:rsidRDefault="00D17F7D" w:rsidP="004D5D74">
            <w:pPr>
              <w:ind w:firstLine="0"/>
              <w:rPr>
                <w:b/>
                <w:sz w:val="22"/>
                <w:lang w:eastAsia="pt-BR"/>
              </w:rPr>
            </w:pPr>
            <w:r w:rsidRPr="00CC7A25">
              <w:rPr>
                <w:b/>
                <w:sz w:val="22"/>
                <w:lang w:eastAsia="pt-BR"/>
              </w:rPr>
              <w:t>RELATÓRIO</w:t>
            </w:r>
          </w:p>
        </w:tc>
        <w:tc>
          <w:tcPr>
            <w:tcW w:w="340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3F9B79" w14:textId="77777777" w:rsidR="00D17F7D" w:rsidRPr="00CC7A25" w:rsidRDefault="00D17F7D" w:rsidP="00693694">
            <w:pPr>
              <w:ind w:firstLine="0"/>
              <w:jc w:val="left"/>
              <w:rPr>
                <w:b/>
                <w:sz w:val="22"/>
                <w:lang w:eastAsia="pt-BR"/>
              </w:rPr>
            </w:pPr>
            <w:r w:rsidRPr="00CC7A25">
              <w:rPr>
                <w:b/>
                <w:sz w:val="22"/>
                <w:lang w:eastAsia="pt-BR"/>
              </w:rPr>
              <w:t>NOMENCLATURA</w:t>
            </w:r>
          </w:p>
        </w:tc>
        <w:tc>
          <w:tcPr>
            <w:tcW w:w="10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3C31B2" w14:textId="77777777" w:rsidR="00D17F7D" w:rsidRPr="00CC7A25" w:rsidRDefault="00D17F7D" w:rsidP="00693694">
            <w:pPr>
              <w:ind w:firstLine="0"/>
              <w:jc w:val="right"/>
              <w:rPr>
                <w:b/>
                <w:sz w:val="22"/>
                <w:lang w:eastAsia="pt-BR"/>
              </w:rPr>
            </w:pPr>
            <w:r w:rsidRPr="00CC7A25">
              <w:rPr>
                <w:b/>
                <w:sz w:val="22"/>
                <w:lang w:eastAsia="pt-BR"/>
              </w:rPr>
              <w:t>VALOR</w:t>
            </w:r>
          </w:p>
        </w:tc>
      </w:tr>
      <w:tr w:rsidR="00930213" w:rsidRPr="00FF4493" w14:paraId="6950A26C" w14:textId="77777777" w:rsidTr="00E5408C">
        <w:trPr>
          <w:trHeight w:val="261"/>
          <w:jc w:val="center"/>
        </w:trPr>
        <w:tc>
          <w:tcPr>
            <w:tcW w:w="111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37351AD" w14:textId="77777777" w:rsidR="00D17F7D" w:rsidRPr="00CC7A25" w:rsidRDefault="00D17F7D" w:rsidP="00693694">
            <w:pPr>
              <w:ind w:firstLine="0"/>
              <w:jc w:val="left"/>
              <w:rPr>
                <w:b/>
                <w:sz w:val="22"/>
                <w:lang w:eastAsia="pt-BR"/>
              </w:rPr>
            </w:pPr>
            <w:r w:rsidRPr="00CC7A25">
              <w:rPr>
                <w:b/>
                <w:sz w:val="22"/>
                <w:lang w:eastAsia="pt-BR"/>
              </w:rPr>
              <w:t>Federal</w:t>
            </w:r>
          </w:p>
        </w:tc>
        <w:tc>
          <w:tcPr>
            <w:tcW w:w="354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A111DA8" w14:textId="77777777" w:rsidR="00D17F7D" w:rsidRPr="00BA7AB4" w:rsidRDefault="00D17F7D" w:rsidP="004D5D74">
            <w:pPr>
              <w:ind w:firstLine="0"/>
              <w:jc w:val="left"/>
              <w:rPr>
                <w:sz w:val="22"/>
                <w:lang w:eastAsia="pt-BR"/>
              </w:rPr>
            </w:pPr>
            <w:r w:rsidRPr="00BA7AB4">
              <w:rPr>
                <w:sz w:val="22"/>
                <w:lang w:eastAsia="pt-BR"/>
              </w:rPr>
              <w:t>Resultado do Tesouro Nacional</w:t>
            </w:r>
          </w:p>
        </w:tc>
        <w:tc>
          <w:tcPr>
            <w:tcW w:w="340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DAB9EA2" w14:textId="77777777" w:rsidR="00D17F7D" w:rsidRPr="00BA7AB4" w:rsidRDefault="00D17F7D" w:rsidP="00693694">
            <w:pPr>
              <w:ind w:firstLine="0"/>
              <w:jc w:val="left"/>
              <w:rPr>
                <w:sz w:val="22"/>
                <w:lang w:eastAsia="pt-BR"/>
              </w:rPr>
            </w:pPr>
            <w:r w:rsidRPr="00BA7AB4">
              <w:rPr>
                <w:sz w:val="22"/>
                <w:lang w:eastAsia="pt-BR"/>
              </w:rPr>
              <w:t>Pessoal e Encargos Sociais</w:t>
            </w:r>
          </w:p>
        </w:tc>
        <w:tc>
          <w:tcPr>
            <w:tcW w:w="104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BF17635" w14:textId="77777777" w:rsidR="00D17F7D" w:rsidRPr="00BA7AB4" w:rsidRDefault="00D17F7D" w:rsidP="00693694">
            <w:pPr>
              <w:ind w:firstLine="0"/>
              <w:jc w:val="right"/>
              <w:rPr>
                <w:sz w:val="22"/>
                <w:lang w:eastAsia="pt-BR"/>
              </w:rPr>
            </w:pPr>
            <w:r w:rsidRPr="00BA7AB4">
              <w:rPr>
                <w:sz w:val="22"/>
                <w:lang w:eastAsia="pt-BR"/>
              </w:rPr>
              <w:t>284</w:t>
            </w:r>
          </w:p>
        </w:tc>
      </w:tr>
      <w:tr w:rsidR="00930213" w:rsidRPr="00FF4493" w14:paraId="73F8DD8C" w14:textId="77777777" w:rsidTr="00E5408C">
        <w:trPr>
          <w:trHeight w:val="261"/>
          <w:jc w:val="center"/>
        </w:trPr>
        <w:tc>
          <w:tcPr>
            <w:tcW w:w="1119" w:type="dxa"/>
            <w:vMerge/>
            <w:tcBorders>
              <w:top w:val="nil"/>
              <w:left w:val="single" w:sz="12" w:space="0" w:color="auto"/>
              <w:bottom w:val="single" w:sz="12" w:space="0" w:color="auto"/>
              <w:right w:val="single" w:sz="12" w:space="0" w:color="auto"/>
            </w:tcBorders>
            <w:vAlign w:val="center"/>
            <w:hideMark/>
          </w:tcPr>
          <w:p w14:paraId="5573FAE6" w14:textId="77777777" w:rsidR="00D17F7D" w:rsidRPr="00CC7A25" w:rsidRDefault="00D17F7D" w:rsidP="00693694">
            <w:pPr>
              <w:ind w:firstLine="0"/>
              <w:jc w:val="left"/>
              <w:rPr>
                <w:b/>
                <w:sz w:val="22"/>
                <w:lang w:eastAsia="pt-BR"/>
              </w:rPr>
            </w:pPr>
          </w:p>
        </w:tc>
        <w:tc>
          <w:tcPr>
            <w:tcW w:w="354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D6D3872" w14:textId="77777777" w:rsidR="00D17F7D" w:rsidRPr="00BA7AB4" w:rsidRDefault="00D17F7D" w:rsidP="00E00371">
            <w:pPr>
              <w:spacing w:line="276" w:lineRule="auto"/>
              <w:ind w:firstLine="0"/>
              <w:jc w:val="left"/>
              <w:rPr>
                <w:sz w:val="22"/>
                <w:lang w:eastAsia="pt-BR"/>
              </w:rPr>
            </w:pPr>
            <w:r w:rsidRPr="00BA7AB4">
              <w:rPr>
                <w:sz w:val="22"/>
                <w:lang w:eastAsia="pt-BR"/>
              </w:rPr>
              <w:t>Estatística de Finanças Trimestrais</w:t>
            </w:r>
          </w:p>
        </w:tc>
        <w:tc>
          <w:tcPr>
            <w:tcW w:w="340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21B6706" w14:textId="77777777" w:rsidR="00D17F7D" w:rsidRPr="00BA7AB4" w:rsidRDefault="00D17F7D" w:rsidP="004A44B3">
            <w:pPr>
              <w:spacing w:line="276" w:lineRule="auto"/>
              <w:ind w:firstLine="0"/>
              <w:jc w:val="left"/>
              <w:rPr>
                <w:sz w:val="22"/>
                <w:lang w:eastAsia="pt-BR"/>
              </w:rPr>
            </w:pPr>
            <w:r w:rsidRPr="00BA7AB4">
              <w:rPr>
                <w:sz w:val="22"/>
                <w:lang w:eastAsia="pt-BR"/>
              </w:rPr>
              <w:t>Remuneração de Empregados</w:t>
            </w:r>
          </w:p>
        </w:tc>
        <w:tc>
          <w:tcPr>
            <w:tcW w:w="104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04C2374" w14:textId="77777777" w:rsidR="00D17F7D" w:rsidRPr="00BA7AB4" w:rsidRDefault="00D17F7D" w:rsidP="00693694">
            <w:pPr>
              <w:ind w:firstLine="0"/>
              <w:jc w:val="right"/>
              <w:rPr>
                <w:sz w:val="22"/>
                <w:lang w:eastAsia="pt-BR"/>
              </w:rPr>
            </w:pPr>
            <w:r w:rsidRPr="00BA7AB4">
              <w:rPr>
                <w:sz w:val="22"/>
                <w:lang w:eastAsia="pt-BR"/>
              </w:rPr>
              <w:t>277</w:t>
            </w:r>
          </w:p>
        </w:tc>
      </w:tr>
      <w:tr w:rsidR="00930213" w:rsidRPr="00FF4493" w14:paraId="7217BF2D" w14:textId="77777777" w:rsidTr="00E5408C">
        <w:trPr>
          <w:trHeight w:val="261"/>
          <w:jc w:val="center"/>
        </w:trPr>
        <w:tc>
          <w:tcPr>
            <w:tcW w:w="111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3C9E688" w14:textId="77777777" w:rsidR="00D17F7D" w:rsidRPr="00CC7A25" w:rsidRDefault="00D17F7D" w:rsidP="00693694">
            <w:pPr>
              <w:ind w:firstLine="0"/>
              <w:jc w:val="left"/>
              <w:rPr>
                <w:b/>
                <w:sz w:val="22"/>
                <w:lang w:eastAsia="pt-BR"/>
              </w:rPr>
            </w:pPr>
            <w:r w:rsidRPr="00CC7A25">
              <w:rPr>
                <w:b/>
                <w:sz w:val="22"/>
                <w:lang w:eastAsia="pt-BR"/>
              </w:rPr>
              <w:t>Estadual</w:t>
            </w:r>
          </w:p>
        </w:tc>
        <w:tc>
          <w:tcPr>
            <w:tcW w:w="354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39DAABF" w14:textId="77777777" w:rsidR="00D17F7D" w:rsidRPr="00BA7AB4" w:rsidRDefault="00D17F7D" w:rsidP="004D5D74">
            <w:pPr>
              <w:ind w:firstLine="0"/>
              <w:jc w:val="left"/>
              <w:rPr>
                <w:sz w:val="22"/>
                <w:lang w:eastAsia="pt-BR"/>
              </w:rPr>
            </w:pPr>
            <w:r w:rsidRPr="00BA7AB4">
              <w:rPr>
                <w:sz w:val="22"/>
                <w:lang w:eastAsia="pt-BR"/>
              </w:rPr>
              <w:t>Boletim dos Entes Subnacionais</w:t>
            </w:r>
          </w:p>
        </w:tc>
        <w:tc>
          <w:tcPr>
            <w:tcW w:w="340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2AC5C33" w14:textId="77777777" w:rsidR="00D17F7D" w:rsidRPr="00BA7AB4" w:rsidRDefault="00D17F7D" w:rsidP="00693694">
            <w:pPr>
              <w:ind w:firstLine="0"/>
              <w:jc w:val="left"/>
              <w:rPr>
                <w:sz w:val="22"/>
                <w:lang w:eastAsia="pt-BR"/>
              </w:rPr>
            </w:pPr>
            <w:r w:rsidRPr="00BA7AB4">
              <w:rPr>
                <w:sz w:val="22"/>
                <w:lang w:eastAsia="pt-BR"/>
              </w:rPr>
              <w:t>Gasto com Pessoal</w:t>
            </w:r>
          </w:p>
        </w:tc>
        <w:tc>
          <w:tcPr>
            <w:tcW w:w="104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959B8EA" w14:textId="77777777" w:rsidR="00D17F7D" w:rsidRPr="00BA7AB4" w:rsidRDefault="00D17F7D" w:rsidP="00693694">
            <w:pPr>
              <w:ind w:firstLine="0"/>
              <w:jc w:val="right"/>
              <w:rPr>
                <w:sz w:val="22"/>
                <w:lang w:eastAsia="pt-BR"/>
              </w:rPr>
            </w:pPr>
            <w:r w:rsidRPr="00BA7AB4">
              <w:rPr>
                <w:sz w:val="22"/>
                <w:lang w:eastAsia="pt-BR"/>
              </w:rPr>
              <w:t>442</w:t>
            </w:r>
          </w:p>
        </w:tc>
      </w:tr>
      <w:tr w:rsidR="00930213" w:rsidRPr="00FF4493" w14:paraId="1045EB83" w14:textId="77777777" w:rsidTr="00E5408C">
        <w:trPr>
          <w:trHeight w:val="261"/>
          <w:jc w:val="center"/>
        </w:trPr>
        <w:tc>
          <w:tcPr>
            <w:tcW w:w="1119" w:type="dxa"/>
            <w:vMerge/>
            <w:tcBorders>
              <w:top w:val="nil"/>
              <w:left w:val="single" w:sz="12" w:space="0" w:color="auto"/>
              <w:bottom w:val="single" w:sz="12" w:space="0" w:color="auto"/>
              <w:right w:val="single" w:sz="12" w:space="0" w:color="auto"/>
            </w:tcBorders>
            <w:vAlign w:val="center"/>
            <w:hideMark/>
          </w:tcPr>
          <w:p w14:paraId="140E0DD9" w14:textId="77777777" w:rsidR="00D17F7D" w:rsidRPr="00CC7A25" w:rsidRDefault="00D17F7D" w:rsidP="00693694">
            <w:pPr>
              <w:ind w:firstLine="0"/>
              <w:jc w:val="left"/>
              <w:rPr>
                <w:b/>
                <w:sz w:val="22"/>
                <w:lang w:eastAsia="pt-BR"/>
              </w:rPr>
            </w:pPr>
          </w:p>
        </w:tc>
        <w:tc>
          <w:tcPr>
            <w:tcW w:w="354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A35F1E7" w14:textId="77777777" w:rsidR="00D17F7D" w:rsidRPr="00BA7AB4" w:rsidRDefault="00D17F7D" w:rsidP="00E00371">
            <w:pPr>
              <w:spacing w:line="276" w:lineRule="auto"/>
              <w:ind w:firstLine="0"/>
              <w:jc w:val="left"/>
              <w:rPr>
                <w:sz w:val="22"/>
                <w:lang w:eastAsia="pt-BR"/>
              </w:rPr>
            </w:pPr>
            <w:r w:rsidRPr="00BA7AB4">
              <w:rPr>
                <w:sz w:val="22"/>
                <w:lang w:eastAsia="pt-BR"/>
              </w:rPr>
              <w:t>Estatística de Finanças Trimestrais</w:t>
            </w:r>
          </w:p>
        </w:tc>
        <w:tc>
          <w:tcPr>
            <w:tcW w:w="340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28E3457" w14:textId="77777777" w:rsidR="00D17F7D" w:rsidRPr="00BA7AB4" w:rsidRDefault="00D17F7D" w:rsidP="004A44B3">
            <w:pPr>
              <w:spacing w:line="276" w:lineRule="auto"/>
              <w:ind w:firstLine="0"/>
              <w:jc w:val="left"/>
              <w:rPr>
                <w:sz w:val="22"/>
                <w:lang w:eastAsia="pt-BR"/>
              </w:rPr>
            </w:pPr>
            <w:r w:rsidRPr="00BA7AB4">
              <w:rPr>
                <w:sz w:val="22"/>
                <w:lang w:eastAsia="pt-BR"/>
              </w:rPr>
              <w:t>Remuneração de Empregados</w:t>
            </w:r>
          </w:p>
        </w:tc>
        <w:tc>
          <w:tcPr>
            <w:tcW w:w="104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47AA62E" w14:textId="77777777" w:rsidR="00D17F7D" w:rsidRPr="00BA7AB4" w:rsidRDefault="00D17F7D" w:rsidP="00693694">
            <w:pPr>
              <w:ind w:firstLine="0"/>
              <w:jc w:val="right"/>
              <w:rPr>
                <w:sz w:val="22"/>
                <w:lang w:eastAsia="pt-BR"/>
              </w:rPr>
            </w:pPr>
            <w:r w:rsidRPr="00BA7AB4">
              <w:rPr>
                <w:sz w:val="22"/>
                <w:lang w:eastAsia="pt-BR"/>
              </w:rPr>
              <w:t>313</w:t>
            </w:r>
          </w:p>
        </w:tc>
      </w:tr>
      <w:tr w:rsidR="00930213" w:rsidRPr="00FF4493" w14:paraId="3897FA6C" w14:textId="77777777" w:rsidTr="00E5408C">
        <w:trPr>
          <w:trHeight w:val="261"/>
          <w:jc w:val="center"/>
        </w:trPr>
        <w:tc>
          <w:tcPr>
            <w:tcW w:w="111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68DDDF6" w14:textId="77777777" w:rsidR="00D17F7D" w:rsidRPr="00CC7A25" w:rsidRDefault="00D17F7D" w:rsidP="00693694">
            <w:pPr>
              <w:ind w:firstLine="0"/>
              <w:jc w:val="left"/>
              <w:rPr>
                <w:b/>
                <w:sz w:val="22"/>
                <w:lang w:eastAsia="pt-BR"/>
              </w:rPr>
            </w:pPr>
            <w:r w:rsidRPr="00CC7A25">
              <w:rPr>
                <w:b/>
                <w:sz w:val="22"/>
                <w:lang w:eastAsia="pt-BR"/>
              </w:rPr>
              <w:t>Municipal</w:t>
            </w:r>
          </w:p>
        </w:tc>
        <w:tc>
          <w:tcPr>
            <w:tcW w:w="354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B88E4C7" w14:textId="77777777" w:rsidR="00D17F7D" w:rsidRPr="00BA7AB4" w:rsidRDefault="00D17F7D" w:rsidP="004D5D74">
            <w:pPr>
              <w:ind w:firstLine="0"/>
              <w:jc w:val="left"/>
              <w:rPr>
                <w:sz w:val="22"/>
                <w:lang w:eastAsia="pt-BR"/>
              </w:rPr>
            </w:pPr>
            <w:r w:rsidRPr="00BA7AB4">
              <w:rPr>
                <w:sz w:val="22"/>
                <w:lang w:eastAsia="pt-BR"/>
              </w:rPr>
              <w:t>Boletim dos Entes Subnacionais</w:t>
            </w:r>
          </w:p>
        </w:tc>
        <w:tc>
          <w:tcPr>
            <w:tcW w:w="340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DBDB242" w14:textId="49DC52CE" w:rsidR="00D17F7D" w:rsidRPr="00BA7AB4" w:rsidRDefault="00D17F7D" w:rsidP="00693694">
            <w:pPr>
              <w:ind w:firstLine="0"/>
              <w:jc w:val="left"/>
              <w:rPr>
                <w:sz w:val="22"/>
                <w:lang w:eastAsia="pt-BR"/>
              </w:rPr>
            </w:pPr>
            <w:r w:rsidRPr="00BA7AB4">
              <w:rPr>
                <w:sz w:val="22"/>
                <w:lang w:eastAsia="pt-BR"/>
              </w:rPr>
              <w:t>Pessoal Ativo</w:t>
            </w:r>
          </w:p>
        </w:tc>
        <w:tc>
          <w:tcPr>
            <w:tcW w:w="104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6C7382" w14:textId="703536B1" w:rsidR="00D17F7D" w:rsidRPr="00BA7AB4" w:rsidRDefault="009D4073" w:rsidP="00693694">
            <w:pPr>
              <w:ind w:firstLine="0"/>
              <w:jc w:val="right"/>
              <w:rPr>
                <w:sz w:val="22"/>
                <w:lang w:eastAsia="pt-BR"/>
              </w:rPr>
            </w:pPr>
            <w:r w:rsidRPr="00BA7AB4">
              <w:rPr>
                <w:sz w:val="22"/>
                <w:lang w:eastAsia="pt-BR"/>
              </w:rPr>
              <w:t>178</w:t>
            </w:r>
          </w:p>
        </w:tc>
      </w:tr>
      <w:tr w:rsidR="00930213" w:rsidRPr="00FF4493" w14:paraId="589902D9" w14:textId="77777777" w:rsidTr="00E5408C">
        <w:trPr>
          <w:trHeight w:val="261"/>
          <w:jc w:val="center"/>
        </w:trPr>
        <w:tc>
          <w:tcPr>
            <w:tcW w:w="1119" w:type="dxa"/>
            <w:vMerge/>
            <w:tcBorders>
              <w:top w:val="nil"/>
              <w:left w:val="single" w:sz="12" w:space="0" w:color="auto"/>
              <w:bottom w:val="single" w:sz="12" w:space="0" w:color="auto"/>
              <w:right w:val="single" w:sz="12" w:space="0" w:color="auto"/>
            </w:tcBorders>
            <w:vAlign w:val="center"/>
            <w:hideMark/>
          </w:tcPr>
          <w:p w14:paraId="396EE3EB" w14:textId="77777777" w:rsidR="00D17F7D" w:rsidRPr="00BA7AB4" w:rsidRDefault="00D17F7D" w:rsidP="000B7B0D">
            <w:pPr>
              <w:rPr>
                <w:sz w:val="22"/>
                <w:lang w:eastAsia="pt-BR"/>
              </w:rPr>
            </w:pPr>
          </w:p>
        </w:tc>
        <w:tc>
          <w:tcPr>
            <w:tcW w:w="354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E2A75C6" w14:textId="77777777" w:rsidR="00D17F7D" w:rsidRPr="00BA7AB4" w:rsidRDefault="00D17F7D" w:rsidP="00E00371">
            <w:pPr>
              <w:spacing w:line="276" w:lineRule="auto"/>
              <w:ind w:firstLine="0"/>
              <w:jc w:val="left"/>
              <w:rPr>
                <w:sz w:val="22"/>
                <w:lang w:eastAsia="pt-BR"/>
              </w:rPr>
            </w:pPr>
            <w:r w:rsidRPr="00BA7AB4">
              <w:rPr>
                <w:sz w:val="22"/>
                <w:lang w:eastAsia="pt-BR"/>
              </w:rPr>
              <w:t>Estatística de Finanças Trimestrais</w:t>
            </w:r>
          </w:p>
        </w:tc>
        <w:tc>
          <w:tcPr>
            <w:tcW w:w="340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DF5311A" w14:textId="77777777" w:rsidR="00D17F7D" w:rsidRPr="00BA7AB4" w:rsidRDefault="00D17F7D" w:rsidP="004A44B3">
            <w:pPr>
              <w:spacing w:line="276" w:lineRule="auto"/>
              <w:ind w:firstLine="0"/>
              <w:jc w:val="left"/>
              <w:rPr>
                <w:sz w:val="22"/>
                <w:lang w:eastAsia="pt-BR"/>
              </w:rPr>
            </w:pPr>
            <w:r w:rsidRPr="00BA7AB4">
              <w:rPr>
                <w:sz w:val="22"/>
                <w:lang w:eastAsia="pt-BR"/>
              </w:rPr>
              <w:t>Remuneração de Empregados</w:t>
            </w:r>
          </w:p>
        </w:tc>
        <w:tc>
          <w:tcPr>
            <w:tcW w:w="104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2699C2B" w14:textId="77777777" w:rsidR="00D17F7D" w:rsidRPr="00BA7AB4" w:rsidRDefault="00D17F7D" w:rsidP="00693694">
            <w:pPr>
              <w:ind w:firstLine="0"/>
              <w:jc w:val="right"/>
              <w:rPr>
                <w:sz w:val="22"/>
                <w:lang w:eastAsia="pt-BR"/>
              </w:rPr>
            </w:pPr>
            <w:r w:rsidRPr="00BA7AB4">
              <w:rPr>
                <w:sz w:val="22"/>
                <w:lang w:eastAsia="pt-BR"/>
              </w:rPr>
              <w:t>279</w:t>
            </w:r>
          </w:p>
        </w:tc>
      </w:tr>
    </w:tbl>
    <w:p w14:paraId="68DD94A6" w14:textId="69592414" w:rsidR="00790733" w:rsidRDefault="008F391A" w:rsidP="008F391A">
      <w:pPr>
        <w:pStyle w:val="Subttulo"/>
      </w:pPr>
      <w:r>
        <w:t xml:space="preserve">Fonte: </w:t>
      </w:r>
      <w:r w:rsidR="00726D57">
        <w:t>Secretaria do Tesouro Nacional</w:t>
      </w:r>
      <w:r w:rsidR="0072687E">
        <w:t>. Elaboração própria.</w:t>
      </w:r>
    </w:p>
    <w:p w14:paraId="5AFAAAA1" w14:textId="14C73966" w:rsidR="008F391A" w:rsidRDefault="008F391A" w:rsidP="008F391A"/>
    <w:p w14:paraId="63795483" w14:textId="77777777" w:rsidR="00FA2913" w:rsidRDefault="00FA2913" w:rsidP="00FA2913">
      <w:pPr>
        <w:jc w:val="center"/>
        <w:rPr>
          <w:b/>
        </w:rPr>
      </w:pPr>
    </w:p>
    <w:p w14:paraId="26B9F3DA" w14:textId="1333410C" w:rsidR="00FA2913" w:rsidRDefault="00FA2913" w:rsidP="00FA2913">
      <w:pPr>
        <w:jc w:val="center"/>
        <w:rPr>
          <w:b/>
        </w:rPr>
      </w:pPr>
    </w:p>
    <w:p w14:paraId="30531498" w14:textId="17EB858E" w:rsidR="0022611D" w:rsidRDefault="0022611D" w:rsidP="00FA2913">
      <w:pPr>
        <w:jc w:val="center"/>
        <w:rPr>
          <w:b/>
        </w:rPr>
      </w:pPr>
    </w:p>
    <w:p w14:paraId="416F48C4" w14:textId="77777777" w:rsidR="0022611D" w:rsidRDefault="0022611D" w:rsidP="00FA2913">
      <w:pPr>
        <w:jc w:val="center"/>
        <w:rPr>
          <w:b/>
        </w:rPr>
      </w:pPr>
    </w:p>
    <w:p w14:paraId="39F1CBAE" w14:textId="10CDA459" w:rsidR="00FA2913" w:rsidRPr="008F391A" w:rsidRDefault="00FA2913" w:rsidP="0029000C">
      <w:pPr>
        <w:jc w:val="center"/>
      </w:pPr>
      <w:r w:rsidRPr="00A76B6D">
        <w:rPr>
          <w:b/>
        </w:rPr>
        <w:lastRenderedPageBreak/>
        <w:t xml:space="preserve">Quadro </w:t>
      </w:r>
      <w:r>
        <w:rPr>
          <w:b/>
        </w:rPr>
        <w:t>I</w:t>
      </w:r>
      <w:r w:rsidRPr="00A76B6D">
        <w:rPr>
          <w:b/>
        </w:rPr>
        <w:t xml:space="preserve">I – </w:t>
      </w:r>
      <w:r>
        <w:rPr>
          <w:b/>
        </w:rPr>
        <w:t xml:space="preserve">Síntese das nomenclaturas e valores das informações de previdência </w:t>
      </w:r>
      <w:r w:rsidR="007F695D">
        <w:rPr>
          <w:b/>
        </w:rPr>
        <w:t>apuradas</w:t>
      </w:r>
      <w:r>
        <w:rPr>
          <w:b/>
        </w:rPr>
        <w:t xml:space="preserve"> dos relatórios</w:t>
      </w:r>
    </w:p>
    <w:tbl>
      <w:tblPr>
        <w:tblW w:w="9057" w:type="dxa"/>
        <w:jc w:val="center"/>
        <w:tblCellMar>
          <w:left w:w="70" w:type="dxa"/>
          <w:right w:w="70" w:type="dxa"/>
        </w:tblCellMar>
        <w:tblLook w:val="04A0" w:firstRow="1" w:lastRow="0" w:firstColumn="1" w:lastColumn="0" w:noHBand="0" w:noVBand="1"/>
      </w:tblPr>
      <w:tblGrid>
        <w:gridCol w:w="1106"/>
        <w:gridCol w:w="3476"/>
        <w:gridCol w:w="3544"/>
        <w:gridCol w:w="992"/>
      </w:tblGrid>
      <w:tr w:rsidR="006E238D" w:rsidRPr="003F5B1F" w14:paraId="15254A3E" w14:textId="77777777" w:rsidTr="0072687E">
        <w:trPr>
          <w:trHeight w:val="265"/>
          <w:jc w:val="center"/>
        </w:trPr>
        <w:tc>
          <w:tcPr>
            <w:tcW w:w="104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D6BE89" w14:textId="77777777" w:rsidR="006E238D" w:rsidRPr="0072687E" w:rsidRDefault="006E238D" w:rsidP="00693694">
            <w:pPr>
              <w:ind w:firstLine="0"/>
              <w:jc w:val="left"/>
              <w:rPr>
                <w:b/>
                <w:sz w:val="22"/>
                <w:lang w:eastAsia="pt-BR"/>
              </w:rPr>
            </w:pPr>
            <w:r w:rsidRPr="0072687E">
              <w:rPr>
                <w:b/>
                <w:sz w:val="22"/>
                <w:lang w:eastAsia="pt-BR"/>
              </w:rPr>
              <w:t>ESFERA</w:t>
            </w:r>
          </w:p>
        </w:tc>
        <w:tc>
          <w:tcPr>
            <w:tcW w:w="34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588270" w14:textId="77777777" w:rsidR="006E238D" w:rsidRPr="0072687E" w:rsidRDefault="006E238D" w:rsidP="00693694">
            <w:pPr>
              <w:ind w:firstLine="0"/>
              <w:jc w:val="left"/>
              <w:rPr>
                <w:b/>
                <w:sz w:val="22"/>
                <w:lang w:eastAsia="pt-BR"/>
              </w:rPr>
            </w:pPr>
            <w:r w:rsidRPr="0072687E">
              <w:rPr>
                <w:b/>
                <w:sz w:val="22"/>
                <w:lang w:eastAsia="pt-BR"/>
              </w:rPr>
              <w:t>RELATÓRIO</w:t>
            </w:r>
          </w:p>
        </w:tc>
        <w:tc>
          <w:tcPr>
            <w:tcW w:w="354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90AF0B" w14:textId="77777777" w:rsidR="006E238D" w:rsidRPr="0072687E" w:rsidRDefault="006E238D" w:rsidP="00693694">
            <w:pPr>
              <w:ind w:firstLine="0"/>
              <w:jc w:val="left"/>
              <w:rPr>
                <w:b/>
                <w:sz w:val="22"/>
                <w:lang w:eastAsia="pt-BR"/>
              </w:rPr>
            </w:pPr>
            <w:r w:rsidRPr="0072687E">
              <w:rPr>
                <w:b/>
                <w:sz w:val="22"/>
                <w:lang w:eastAsia="pt-BR"/>
              </w:rPr>
              <w:t>NOMENCLATURA</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982738" w14:textId="77777777" w:rsidR="006E238D" w:rsidRPr="0072687E" w:rsidRDefault="006E238D" w:rsidP="00693694">
            <w:pPr>
              <w:ind w:firstLine="0"/>
              <w:jc w:val="right"/>
              <w:rPr>
                <w:b/>
                <w:sz w:val="22"/>
                <w:lang w:eastAsia="pt-BR"/>
              </w:rPr>
            </w:pPr>
            <w:r w:rsidRPr="0072687E">
              <w:rPr>
                <w:b/>
                <w:sz w:val="22"/>
                <w:lang w:eastAsia="pt-BR"/>
              </w:rPr>
              <w:t>VALOR</w:t>
            </w:r>
          </w:p>
        </w:tc>
      </w:tr>
      <w:tr w:rsidR="006E238D" w:rsidRPr="003F5B1F" w14:paraId="0A34E929" w14:textId="77777777" w:rsidTr="006A6C97">
        <w:trPr>
          <w:trHeight w:val="265"/>
          <w:jc w:val="center"/>
        </w:trPr>
        <w:tc>
          <w:tcPr>
            <w:tcW w:w="1045"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529DD728" w14:textId="77777777" w:rsidR="006E238D" w:rsidRPr="0072687E" w:rsidRDefault="006E238D" w:rsidP="00693694">
            <w:pPr>
              <w:ind w:firstLine="0"/>
              <w:jc w:val="left"/>
              <w:rPr>
                <w:b/>
                <w:sz w:val="22"/>
                <w:lang w:eastAsia="pt-BR"/>
              </w:rPr>
            </w:pPr>
            <w:r w:rsidRPr="0072687E">
              <w:rPr>
                <w:b/>
                <w:sz w:val="22"/>
                <w:lang w:eastAsia="pt-BR"/>
              </w:rPr>
              <w:t>Federal</w:t>
            </w:r>
          </w:p>
        </w:tc>
        <w:tc>
          <w:tcPr>
            <w:tcW w:w="347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C5400F0" w14:textId="77777777" w:rsidR="006E238D" w:rsidRPr="00FA2913" w:rsidRDefault="006E238D" w:rsidP="00693694">
            <w:pPr>
              <w:ind w:firstLine="0"/>
              <w:jc w:val="left"/>
              <w:rPr>
                <w:sz w:val="22"/>
                <w:lang w:eastAsia="pt-BR"/>
              </w:rPr>
            </w:pPr>
            <w:r w:rsidRPr="00FA2913">
              <w:rPr>
                <w:sz w:val="22"/>
                <w:lang w:eastAsia="pt-BR"/>
              </w:rPr>
              <w:t>Resultado do Tesouro Nacional</w:t>
            </w:r>
          </w:p>
        </w:tc>
        <w:tc>
          <w:tcPr>
            <w:tcW w:w="354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DB49DC7" w14:textId="77777777" w:rsidR="006E238D" w:rsidRPr="00FA2913" w:rsidRDefault="006E238D" w:rsidP="00693694">
            <w:pPr>
              <w:ind w:firstLine="0"/>
              <w:jc w:val="left"/>
              <w:rPr>
                <w:sz w:val="22"/>
                <w:lang w:eastAsia="pt-BR"/>
              </w:rPr>
            </w:pPr>
            <w:r w:rsidRPr="00FA2913">
              <w:rPr>
                <w:sz w:val="22"/>
                <w:lang w:eastAsia="pt-BR"/>
              </w:rPr>
              <w:t>Benefícios Previdenciários</w:t>
            </w:r>
          </w:p>
        </w:tc>
        <w:tc>
          <w:tcPr>
            <w:tcW w:w="99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515A3AC" w14:textId="77777777" w:rsidR="006E238D" w:rsidRPr="00FA2913" w:rsidRDefault="006E238D" w:rsidP="00693694">
            <w:pPr>
              <w:ind w:firstLine="0"/>
              <w:jc w:val="right"/>
              <w:rPr>
                <w:sz w:val="22"/>
                <w:lang w:eastAsia="pt-BR"/>
              </w:rPr>
            </w:pPr>
            <w:r w:rsidRPr="00FA2913">
              <w:rPr>
                <w:sz w:val="22"/>
                <w:lang w:eastAsia="pt-BR"/>
              </w:rPr>
              <w:t>557</w:t>
            </w:r>
          </w:p>
        </w:tc>
      </w:tr>
      <w:tr w:rsidR="006E238D" w:rsidRPr="003F5B1F" w14:paraId="5AE47493" w14:textId="77777777" w:rsidTr="006A6C97">
        <w:trPr>
          <w:trHeight w:val="265"/>
          <w:jc w:val="center"/>
        </w:trPr>
        <w:tc>
          <w:tcPr>
            <w:tcW w:w="1045" w:type="dxa"/>
            <w:vMerge/>
            <w:tcBorders>
              <w:top w:val="nil"/>
              <w:left w:val="single" w:sz="12" w:space="0" w:color="auto"/>
              <w:bottom w:val="single" w:sz="12" w:space="0" w:color="auto"/>
              <w:right w:val="single" w:sz="12" w:space="0" w:color="auto"/>
            </w:tcBorders>
            <w:vAlign w:val="center"/>
            <w:hideMark/>
          </w:tcPr>
          <w:p w14:paraId="2AE17E0C" w14:textId="77777777" w:rsidR="006E238D" w:rsidRPr="0072687E" w:rsidRDefault="006E238D" w:rsidP="00693694">
            <w:pPr>
              <w:ind w:firstLine="0"/>
              <w:jc w:val="left"/>
              <w:rPr>
                <w:b/>
                <w:sz w:val="22"/>
                <w:lang w:eastAsia="pt-BR"/>
              </w:rPr>
            </w:pPr>
          </w:p>
        </w:tc>
        <w:tc>
          <w:tcPr>
            <w:tcW w:w="3476"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7AD5605" w14:textId="77777777" w:rsidR="006E238D" w:rsidRPr="00FA2913" w:rsidRDefault="006E238D" w:rsidP="00693694">
            <w:pPr>
              <w:ind w:firstLine="0"/>
              <w:jc w:val="left"/>
              <w:rPr>
                <w:sz w:val="22"/>
                <w:lang w:eastAsia="pt-BR"/>
              </w:rPr>
            </w:pPr>
            <w:r w:rsidRPr="00FA2913">
              <w:rPr>
                <w:sz w:val="22"/>
                <w:lang w:eastAsia="pt-BR"/>
              </w:rPr>
              <w:t>Estatística de Finanças Trimestrais</w:t>
            </w:r>
          </w:p>
        </w:tc>
        <w:tc>
          <w:tcPr>
            <w:tcW w:w="354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FC9D87B" w14:textId="77777777" w:rsidR="006E238D" w:rsidRPr="00FA2913" w:rsidRDefault="006E238D" w:rsidP="00693694">
            <w:pPr>
              <w:ind w:firstLine="0"/>
              <w:jc w:val="left"/>
              <w:rPr>
                <w:sz w:val="22"/>
                <w:lang w:eastAsia="pt-BR"/>
              </w:rPr>
            </w:pPr>
            <w:r w:rsidRPr="00FA2913">
              <w:rPr>
                <w:sz w:val="22"/>
                <w:lang w:eastAsia="pt-BR"/>
              </w:rPr>
              <w:t>Benefícios Sociais</w:t>
            </w:r>
          </w:p>
        </w:tc>
        <w:tc>
          <w:tcPr>
            <w:tcW w:w="99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D82B848" w14:textId="77777777" w:rsidR="006E238D" w:rsidRPr="00FA2913" w:rsidRDefault="006E238D" w:rsidP="00693694">
            <w:pPr>
              <w:ind w:firstLine="0"/>
              <w:jc w:val="right"/>
              <w:rPr>
                <w:sz w:val="22"/>
                <w:lang w:eastAsia="pt-BR"/>
              </w:rPr>
            </w:pPr>
            <w:r w:rsidRPr="00FA2913">
              <w:rPr>
                <w:sz w:val="22"/>
                <w:lang w:eastAsia="pt-BR"/>
              </w:rPr>
              <w:t>951</w:t>
            </w:r>
          </w:p>
        </w:tc>
      </w:tr>
      <w:tr w:rsidR="006E238D" w:rsidRPr="003F5B1F" w14:paraId="4599C7E5" w14:textId="77777777" w:rsidTr="006A6C97">
        <w:trPr>
          <w:trHeight w:val="265"/>
          <w:jc w:val="center"/>
        </w:trPr>
        <w:tc>
          <w:tcPr>
            <w:tcW w:w="1045" w:type="dxa"/>
            <w:vMerge w:val="restart"/>
            <w:tcBorders>
              <w:top w:val="nil"/>
              <w:left w:val="single" w:sz="12" w:space="0" w:color="auto"/>
              <w:bottom w:val="nil"/>
              <w:right w:val="single" w:sz="12" w:space="0" w:color="auto"/>
            </w:tcBorders>
            <w:shd w:val="clear" w:color="auto" w:fill="auto"/>
            <w:noWrap/>
            <w:vAlign w:val="center"/>
            <w:hideMark/>
          </w:tcPr>
          <w:p w14:paraId="375704DC" w14:textId="77777777" w:rsidR="006E238D" w:rsidRPr="0072687E" w:rsidRDefault="006E238D" w:rsidP="00693694">
            <w:pPr>
              <w:ind w:firstLine="0"/>
              <w:jc w:val="left"/>
              <w:rPr>
                <w:b/>
                <w:sz w:val="22"/>
                <w:lang w:eastAsia="pt-BR"/>
              </w:rPr>
            </w:pPr>
            <w:r w:rsidRPr="0072687E">
              <w:rPr>
                <w:b/>
                <w:sz w:val="22"/>
                <w:lang w:eastAsia="pt-BR"/>
              </w:rPr>
              <w:t>Estadual</w:t>
            </w:r>
          </w:p>
        </w:tc>
        <w:tc>
          <w:tcPr>
            <w:tcW w:w="3476" w:type="dxa"/>
            <w:tcBorders>
              <w:top w:val="nil"/>
              <w:left w:val="single" w:sz="12" w:space="0" w:color="auto"/>
              <w:bottom w:val="single" w:sz="4" w:space="0" w:color="auto"/>
              <w:right w:val="single" w:sz="12" w:space="0" w:color="auto"/>
            </w:tcBorders>
            <w:shd w:val="clear" w:color="auto" w:fill="auto"/>
            <w:noWrap/>
            <w:vAlign w:val="center"/>
            <w:hideMark/>
          </w:tcPr>
          <w:p w14:paraId="20622AF0" w14:textId="77777777" w:rsidR="006E238D" w:rsidRPr="00FA2913" w:rsidRDefault="006E238D" w:rsidP="00693694">
            <w:pPr>
              <w:ind w:firstLine="0"/>
              <w:jc w:val="left"/>
              <w:rPr>
                <w:sz w:val="22"/>
                <w:lang w:eastAsia="pt-BR"/>
              </w:rPr>
            </w:pPr>
            <w:r w:rsidRPr="00FA2913">
              <w:rPr>
                <w:sz w:val="22"/>
                <w:lang w:eastAsia="pt-BR"/>
              </w:rPr>
              <w:t>Boletim dos Entes Subnacionais</w:t>
            </w:r>
          </w:p>
        </w:tc>
        <w:tc>
          <w:tcPr>
            <w:tcW w:w="3544" w:type="dxa"/>
            <w:tcBorders>
              <w:top w:val="nil"/>
              <w:left w:val="single" w:sz="12" w:space="0" w:color="auto"/>
              <w:bottom w:val="single" w:sz="4" w:space="0" w:color="auto"/>
              <w:right w:val="single" w:sz="12" w:space="0" w:color="auto"/>
            </w:tcBorders>
            <w:shd w:val="clear" w:color="auto" w:fill="auto"/>
            <w:noWrap/>
            <w:vAlign w:val="center"/>
            <w:hideMark/>
          </w:tcPr>
          <w:p w14:paraId="711609CF" w14:textId="77777777" w:rsidR="006E238D" w:rsidRPr="00FA2913" w:rsidRDefault="006E238D" w:rsidP="00693694">
            <w:pPr>
              <w:ind w:firstLine="0"/>
              <w:jc w:val="left"/>
              <w:rPr>
                <w:sz w:val="22"/>
                <w:lang w:eastAsia="pt-BR"/>
              </w:rPr>
            </w:pPr>
            <w:r w:rsidRPr="00FA2913">
              <w:rPr>
                <w:sz w:val="22"/>
                <w:lang w:eastAsia="pt-BR"/>
              </w:rPr>
              <w:t>Custo Previdenciário</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7583351E" w14:textId="77777777" w:rsidR="006E238D" w:rsidRPr="00FA2913" w:rsidRDefault="006E238D" w:rsidP="00693694">
            <w:pPr>
              <w:ind w:firstLine="0"/>
              <w:jc w:val="right"/>
              <w:rPr>
                <w:sz w:val="22"/>
                <w:lang w:eastAsia="pt-BR"/>
              </w:rPr>
            </w:pPr>
            <w:r w:rsidRPr="00FA2913">
              <w:rPr>
                <w:sz w:val="22"/>
                <w:lang w:eastAsia="pt-BR"/>
              </w:rPr>
              <w:t>94</w:t>
            </w:r>
          </w:p>
        </w:tc>
      </w:tr>
      <w:tr w:rsidR="006E238D" w:rsidRPr="003F5B1F" w14:paraId="519DEAB7" w14:textId="77777777" w:rsidTr="006A6C97">
        <w:trPr>
          <w:trHeight w:val="265"/>
          <w:jc w:val="center"/>
        </w:trPr>
        <w:tc>
          <w:tcPr>
            <w:tcW w:w="1045" w:type="dxa"/>
            <w:vMerge/>
            <w:tcBorders>
              <w:top w:val="nil"/>
              <w:left w:val="single" w:sz="12" w:space="0" w:color="auto"/>
              <w:bottom w:val="single" w:sz="12" w:space="0" w:color="auto"/>
              <w:right w:val="single" w:sz="12" w:space="0" w:color="auto"/>
            </w:tcBorders>
            <w:vAlign w:val="center"/>
            <w:hideMark/>
          </w:tcPr>
          <w:p w14:paraId="379669BE" w14:textId="77777777" w:rsidR="006E238D" w:rsidRPr="0072687E" w:rsidRDefault="006E238D" w:rsidP="00693694">
            <w:pPr>
              <w:ind w:firstLine="0"/>
              <w:jc w:val="left"/>
              <w:rPr>
                <w:b/>
                <w:sz w:val="22"/>
                <w:lang w:eastAsia="pt-BR"/>
              </w:rPr>
            </w:pPr>
          </w:p>
        </w:tc>
        <w:tc>
          <w:tcPr>
            <w:tcW w:w="3476"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06377CA" w14:textId="77777777" w:rsidR="006E238D" w:rsidRPr="00FA2913" w:rsidRDefault="006E238D" w:rsidP="00693694">
            <w:pPr>
              <w:ind w:firstLine="0"/>
              <w:jc w:val="left"/>
              <w:rPr>
                <w:sz w:val="22"/>
                <w:lang w:eastAsia="pt-BR"/>
              </w:rPr>
            </w:pPr>
            <w:r w:rsidRPr="00FA2913">
              <w:rPr>
                <w:sz w:val="22"/>
                <w:lang w:eastAsia="pt-BR"/>
              </w:rPr>
              <w:t>Estatística de Finanças Trimestrais</w:t>
            </w:r>
          </w:p>
        </w:tc>
        <w:tc>
          <w:tcPr>
            <w:tcW w:w="354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2F74B17" w14:textId="77777777" w:rsidR="006E238D" w:rsidRPr="00FA2913" w:rsidRDefault="006E238D" w:rsidP="00693694">
            <w:pPr>
              <w:ind w:firstLine="0"/>
              <w:jc w:val="left"/>
              <w:rPr>
                <w:sz w:val="22"/>
                <w:lang w:eastAsia="pt-BR"/>
              </w:rPr>
            </w:pPr>
            <w:r w:rsidRPr="00FA2913">
              <w:rPr>
                <w:sz w:val="22"/>
                <w:lang w:eastAsia="pt-BR"/>
              </w:rPr>
              <w:t>Benefícios Sociais</w:t>
            </w:r>
          </w:p>
        </w:tc>
        <w:tc>
          <w:tcPr>
            <w:tcW w:w="99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4086882" w14:textId="77777777" w:rsidR="006E238D" w:rsidRPr="00FA2913" w:rsidRDefault="006E238D" w:rsidP="00693694">
            <w:pPr>
              <w:ind w:firstLine="0"/>
              <w:jc w:val="right"/>
              <w:rPr>
                <w:sz w:val="22"/>
                <w:lang w:eastAsia="pt-BR"/>
              </w:rPr>
            </w:pPr>
            <w:r w:rsidRPr="00FA2913">
              <w:rPr>
                <w:sz w:val="22"/>
                <w:lang w:eastAsia="pt-BR"/>
              </w:rPr>
              <w:t>159</w:t>
            </w:r>
          </w:p>
        </w:tc>
      </w:tr>
      <w:tr w:rsidR="006E238D" w:rsidRPr="003F5B1F" w14:paraId="6E62B5AE" w14:textId="77777777" w:rsidTr="006A6C97">
        <w:trPr>
          <w:trHeight w:val="265"/>
          <w:jc w:val="center"/>
        </w:trPr>
        <w:tc>
          <w:tcPr>
            <w:tcW w:w="1045" w:type="dxa"/>
            <w:vMerge w:val="restart"/>
            <w:tcBorders>
              <w:top w:val="nil"/>
              <w:left w:val="single" w:sz="12" w:space="0" w:color="auto"/>
              <w:bottom w:val="single" w:sz="4" w:space="0" w:color="000000"/>
              <w:right w:val="single" w:sz="12" w:space="0" w:color="auto"/>
            </w:tcBorders>
            <w:shd w:val="clear" w:color="auto" w:fill="auto"/>
            <w:noWrap/>
            <w:vAlign w:val="center"/>
            <w:hideMark/>
          </w:tcPr>
          <w:p w14:paraId="2B3E471D" w14:textId="77777777" w:rsidR="006E238D" w:rsidRPr="0072687E" w:rsidRDefault="006E238D" w:rsidP="00693694">
            <w:pPr>
              <w:ind w:firstLine="0"/>
              <w:jc w:val="left"/>
              <w:rPr>
                <w:b/>
                <w:sz w:val="22"/>
                <w:lang w:eastAsia="pt-BR"/>
              </w:rPr>
            </w:pPr>
            <w:r w:rsidRPr="0072687E">
              <w:rPr>
                <w:b/>
                <w:sz w:val="22"/>
                <w:lang w:eastAsia="pt-BR"/>
              </w:rPr>
              <w:t>Municipal</w:t>
            </w:r>
          </w:p>
        </w:tc>
        <w:tc>
          <w:tcPr>
            <w:tcW w:w="3476" w:type="dxa"/>
            <w:tcBorders>
              <w:top w:val="nil"/>
              <w:left w:val="single" w:sz="12" w:space="0" w:color="auto"/>
              <w:bottom w:val="single" w:sz="4" w:space="0" w:color="auto"/>
              <w:right w:val="single" w:sz="12" w:space="0" w:color="auto"/>
            </w:tcBorders>
            <w:shd w:val="clear" w:color="auto" w:fill="auto"/>
            <w:noWrap/>
            <w:vAlign w:val="center"/>
            <w:hideMark/>
          </w:tcPr>
          <w:p w14:paraId="0F3AE27A" w14:textId="77777777" w:rsidR="006E238D" w:rsidRPr="00FA2913" w:rsidRDefault="006E238D" w:rsidP="00693694">
            <w:pPr>
              <w:ind w:firstLine="0"/>
              <w:jc w:val="left"/>
              <w:rPr>
                <w:sz w:val="22"/>
                <w:lang w:eastAsia="pt-BR"/>
              </w:rPr>
            </w:pPr>
            <w:r w:rsidRPr="00FA2913">
              <w:rPr>
                <w:sz w:val="22"/>
                <w:lang w:eastAsia="pt-BR"/>
              </w:rPr>
              <w:t>Boletim dos Entes Subnacionais</w:t>
            </w:r>
          </w:p>
        </w:tc>
        <w:tc>
          <w:tcPr>
            <w:tcW w:w="3544" w:type="dxa"/>
            <w:tcBorders>
              <w:top w:val="nil"/>
              <w:left w:val="single" w:sz="12" w:space="0" w:color="auto"/>
              <w:bottom w:val="single" w:sz="4" w:space="0" w:color="auto"/>
              <w:right w:val="single" w:sz="12" w:space="0" w:color="auto"/>
            </w:tcBorders>
            <w:shd w:val="clear" w:color="auto" w:fill="auto"/>
            <w:noWrap/>
            <w:vAlign w:val="center"/>
            <w:hideMark/>
          </w:tcPr>
          <w:p w14:paraId="610F2BF9" w14:textId="77777777" w:rsidR="006E238D" w:rsidRPr="00FA2913" w:rsidRDefault="006E238D" w:rsidP="00693694">
            <w:pPr>
              <w:ind w:firstLine="0"/>
              <w:jc w:val="left"/>
              <w:rPr>
                <w:sz w:val="22"/>
                <w:lang w:eastAsia="pt-BR"/>
              </w:rPr>
            </w:pPr>
            <w:r w:rsidRPr="00FA2913">
              <w:rPr>
                <w:sz w:val="22"/>
                <w:lang w:eastAsia="pt-BR"/>
              </w:rPr>
              <w:t>Inativos + Pensionistas</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1E16DE81" w14:textId="77777777" w:rsidR="006E238D" w:rsidRPr="00FA2913" w:rsidRDefault="006E238D" w:rsidP="00693694">
            <w:pPr>
              <w:ind w:firstLine="0"/>
              <w:jc w:val="right"/>
              <w:rPr>
                <w:sz w:val="22"/>
                <w:lang w:eastAsia="pt-BR"/>
              </w:rPr>
            </w:pPr>
            <w:r w:rsidRPr="00FA2913">
              <w:rPr>
                <w:sz w:val="22"/>
                <w:lang w:eastAsia="pt-BR"/>
              </w:rPr>
              <w:t>39</w:t>
            </w:r>
          </w:p>
        </w:tc>
      </w:tr>
      <w:tr w:rsidR="006E238D" w:rsidRPr="003F5B1F" w14:paraId="5406DC61" w14:textId="77777777" w:rsidTr="006A6C97">
        <w:trPr>
          <w:trHeight w:val="265"/>
          <w:jc w:val="center"/>
        </w:trPr>
        <w:tc>
          <w:tcPr>
            <w:tcW w:w="1045" w:type="dxa"/>
            <w:vMerge/>
            <w:tcBorders>
              <w:top w:val="nil"/>
              <w:left w:val="single" w:sz="12" w:space="0" w:color="auto"/>
              <w:bottom w:val="single" w:sz="12" w:space="0" w:color="auto"/>
              <w:right w:val="single" w:sz="12" w:space="0" w:color="auto"/>
            </w:tcBorders>
            <w:vAlign w:val="center"/>
            <w:hideMark/>
          </w:tcPr>
          <w:p w14:paraId="5BE0C49A" w14:textId="77777777" w:rsidR="006E238D" w:rsidRPr="00FA2913" w:rsidRDefault="006E238D" w:rsidP="00693694">
            <w:pPr>
              <w:ind w:firstLine="0"/>
              <w:jc w:val="left"/>
              <w:rPr>
                <w:sz w:val="22"/>
                <w:lang w:eastAsia="pt-BR"/>
              </w:rPr>
            </w:pPr>
          </w:p>
        </w:tc>
        <w:tc>
          <w:tcPr>
            <w:tcW w:w="3476"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8E33377" w14:textId="77777777" w:rsidR="006E238D" w:rsidRPr="00FA2913" w:rsidRDefault="006E238D" w:rsidP="00693694">
            <w:pPr>
              <w:ind w:firstLine="0"/>
              <w:jc w:val="left"/>
              <w:rPr>
                <w:sz w:val="22"/>
                <w:lang w:eastAsia="pt-BR"/>
              </w:rPr>
            </w:pPr>
            <w:r w:rsidRPr="00FA2913">
              <w:rPr>
                <w:sz w:val="22"/>
                <w:lang w:eastAsia="pt-BR"/>
              </w:rPr>
              <w:t>Estatística de Finanças Trimestrais</w:t>
            </w:r>
          </w:p>
        </w:tc>
        <w:tc>
          <w:tcPr>
            <w:tcW w:w="354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F3A4F2C" w14:textId="77777777" w:rsidR="006E238D" w:rsidRPr="00FA2913" w:rsidRDefault="006E238D" w:rsidP="00693694">
            <w:pPr>
              <w:ind w:firstLine="0"/>
              <w:jc w:val="left"/>
              <w:rPr>
                <w:sz w:val="22"/>
                <w:lang w:eastAsia="pt-BR"/>
              </w:rPr>
            </w:pPr>
            <w:r w:rsidRPr="00FA2913">
              <w:rPr>
                <w:sz w:val="22"/>
                <w:lang w:eastAsia="pt-BR"/>
              </w:rPr>
              <w:t>Benefícios Sociais</w:t>
            </w:r>
          </w:p>
        </w:tc>
        <w:tc>
          <w:tcPr>
            <w:tcW w:w="99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AFC16E4" w14:textId="77777777" w:rsidR="006E238D" w:rsidRPr="00FA2913" w:rsidRDefault="006E238D" w:rsidP="00693694">
            <w:pPr>
              <w:ind w:firstLine="0"/>
              <w:jc w:val="right"/>
              <w:rPr>
                <w:sz w:val="22"/>
                <w:lang w:eastAsia="pt-BR"/>
              </w:rPr>
            </w:pPr>
            <w:r w:rsidRPr="00FA2913">
              <w:rPr>
                <w:sz w:val="22"/>
                <w:lang w:eastAsia="pt-BR"/>
              </w:rPr>
              <w:t>46</w:t>
            </w:r>
          </w:p>
        </w:tc>
      </w:tr>
    </w:tbl>
    <w:p w14:paraId="3704B062" w14:textId="495E90BF" w:rsidR="00726D57" w:rsidRDefault="0029000C" w:rsidP="00726D57">
      <w:pPr>
        <w:pStyle w:val="Subttulo"/>
      </w:pPr>
      <w:r>
        <w:t xml:space="preserve">Fonte: </w:t>
      </w:r>
      <w:r w:rsidR="00726D57">
        <w:t>Secretaria do Tesouro Nacional</w:t>
      </w:r>
      <w:r w:rsidR="0072687E">
        <w:t>. Elaboração própria.</w:t>
      </w:r>
    </w:p>
    <w:p w14:paraId="14B4A6CB" w14:textId="17ABDB31" w:rsidR="0029000C" w:rsidRDefault="0029000C" w:rsidP="0029000C">
      <w:pPr>
        <w:pStyle w:val="Subttulo"/>
      </w:pPr>
    </w:p>
    <w:p w14:paraId="706C5CC4" w14:textId="082FB4EE" w:rsidR="0029000C" w:rsidRDefault="0029000C" w:rsidP="0029000C"/>
    <w:p w14:paraId="6D95E1B1" w14:textId="4A019EE0" w:rsidR="0029000C" w:rsidRPr="008F391A" w:rsidRDefault="0029000C" w:rsidP="0029000C">
      <w:pPr>
        <w:jc w:val="center"/>
      </w:pPr>
      <w:r w:rsidRPr="00A76B6D">
        <w:rPr>
          <w:b/>
        </w:rPr>
        <w:t xml:space="preserve">Quadro </w:t>
      </w:r>
      <w:r>
        <w:rPr>
          <w:b/>
        </w:rPr>
        <w:t>I</w:t>
      </w:r>
      <w:r w:rsidRPr="00A76B6D">
        <w:rPr>
          <w:b/>
        </w:rPr>
        <w:t>I</w:t>
      </w:r>
      <w:r>
        <w:rPr>
          <w:b/>
        </w:rPr>
        <w:t>I</w:t>
      </w:r>
      <w:r w:rsidRPr="00A76B6D">
        <w:rPr>
          <w:b/>
        </w:rPr>
        <w:t xml:space="preserve"> – </w:t>
      </w:r>
      <w:r>
        <w:rPr>
          <w:b/>
        </w:rPr>
        <w:t xml:space="preserve">Síntese das nomenclaturas e valores das informações de investimentos </w:t>
      </w:r>
      <w:r w:rsidR="007F695D">
        <w:rPr>
          <w:b/>
        </w:rPr>
        <w:t>apuradas</w:t>
      </w:r>
      <w:r>
        <w:rPr>
          <w:b/>
        </w:rPr>
        <w:t xml:space="preserve"> dos relatórios</w:t>
      </w:r>
    </w:p>
    <w:tbl>
      <w:tblPr>
        <w:tblW w:w="9108" w:type="dxa"/>
        <w:jc w:val="center"/>
        <w:tblCellMar>
          <w:left w:w="70" w:type="dxa"/>
          <w:right w:w="70" w:type="dxa"/>
        </w:tblCellMar>
        <w:tblLook w:val="04A0" w:firstRow="1" w:lastRow="0" w:firstColumn="1" w:lastColumn="0" w:noHBand="0" w:noVBand="1"/>
      </w:tblPr>
      <w:tblGrid>
        <w:gridCol w:w="1106"/>
        <w:gridCol w:w="3575"/>
        <w:gridCol w:w="3590"/>
        <w:gridCol w:w="935"/>
      </w:tblGrid>
      <w:tr w:rsidR="00E85DCE" w:rsidRPr="003F5B1F" w14:paraId="3F2A8876" w14:textId="77777777" w:rsidTr="0072687E">
        <w:trPr>
          <w:trHeight w:val="248"/>
          <w:jc w:val="center"/>
        </w:trPr>
        <w:tc>
          <w:tcPr>
            <w:tcW w:w="104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248202" w14:textId="77777777" w:rsidR="00FA11CC" w:rsidRPr="0072687E" w:rsidRDefault="00FA11CC" w:rsidP="000C2571">
            <w:pPr>
              <w:ind w:firstLine="0"/>
              <w:jc w:val="left"/>
              <w:rPr>
                <w:b/>
                <w:sz w:val="22"/>
                <w:lang w:eastAsia="pt-BR"/>
              </w:rPr>
            </w:pPr>
            <w:r w:rsidRPr="0072687E">
              <w:rPr>
                <w:b/>
                <w:sz w:val="22"/>
                <w:lang w:eastAsia="pt-BR"/>
              </w:rPr>
              <w:t>ESFERA</w:t>
            </w:r>
          </w:p>
        </w:tc>
        <w:tc>
          <w:tcPr>
            <w:tcW w:w="357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9C6151" w14:textId="77777777" w:rsidR="00FA11CC" w:rsidRPr="0072687E" w:rsidRDefault="00FA11CC" w:rsidP="000C2571">
            <w:pPr>
              <w:ind w:firstLine="0"/>
              <w:jc w:val="left"/>
              <w:rPr>
                <w:b/>
                <w:sz w:val="22"/>
                <w:lang w:eastAsia="pt-BR"/>
              </w:rPr>
            </w:pPr>
            <w:r w:rsidRPr="0072687E">
              <w:rPr>
                <w:b/>
                <w:sz w:val="22"/>
                <w:lang w:eastAsia="pt-BR"/>
              </w:rPr>
              <w:t>RELATÓRIO</w:t>
            </w:r>
          </w:p>
        </w:tc>
        <w:tc>
          <w:tcPr>
            <w:tcW w:w="359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4E2B0F" w14:textId="77777777" w:rsidR="00FA11CC" w:rsidRPr="0072687E" w:rsidRDefault="00FA11CC" w:rsidP="000C2571">
            <w:pPr>
              <w:ind w:firstLine="0"/>
              <w:jc w:val="left"/>
              <w:rPr>
                <w:b/>
                <w:sz w:val="22"/>
                <w:lang w:eastAsia="pt-BR"/>
              </w:rPr>
            </w:pPr>
            <w:r w:rsidRPr="0072687E">
              <w:rPr>
                <w:b/>
                <w:sz w:val="22"/>
                <w:lang w:eastAsia="pt-BR"/>
              </w:rPr>
              <w:t>NOMENCLATURA</w:t>
            </w:r>
          </w:p>
        </w:tc>
        <w:tc>
          <w:tcPr>
            <w:tcW w:w="8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D68EA1" w14:textId="77777777" w:rsidR="00FA11CC" w:rsidRPr="0072687E" w:rsidRDefault="00FA11CC" w:rsidP="00B01E74">
            <w:pPr>
              <w:ind w:firstLine="0"/>
              <w:jc w:val="right"/>
              <w:rPr>
                <w:b/>
                <w:sz w:val="22"/>
                <w:lang w:eastAsia="pt-BR"/>
              </w:rPr>
            </w:pPr>
            <w:r w:rsidRPr="0072687E">
              <w:rPr>
                <w:b/>
                <w:sz w:val="22"/>
                <w:lang w:eastAsia="pt-BR"/>
              </w:rPr>
              <w:t>VALOR</w:t>
            </w:r>
          </w:p>
        </w:tc>
      </w:tr>
      <w:tr w:rsidR="00E85DCE" w:rsidRPr="003F5B1F" w14:paraId="54EAB177" w14:textId="77777777" w:rsidTr="00AA5406">
        <w:trPr>
          <w:trHeight w:val="248"/>
          <w:jc w:val="center"/>
        </w:trPr>
        <w:tc>
          <w:tcPr>
            <w:tcW w:w="1045"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5DC1E5C4" w14:textId="77777777" w:rsidR="00FA11CC" w:rsidRPr="0072687E" w:rsidRDefault="00FA11CC" w:rsidP="000C2571">
            <w:pPr>
              <w:ind w:firstLine="0"/>
              <w:jc w:val="left"/>
              <w:rPr>
                <w:b/>
                <w:sz w:val="22"/>
                <w:lang w:eastAsia="pt-BR"/>
              </w:rPr>
            </w:pPr>
            <w:r w:rsidRPr="0072687E">
              <w:rPr>
                <w:b/>
                <w:sz w:val="22"/>
                <w:lang w:eastAsia="pt-BR"/>
              </w:rPr>
              <w:t>Federal</w:t>
            </w:r>
          </w:p>
        </w:tc>
        <w:tc>
          <w:tcPr>
            <w:tcW w:w="357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298744E" w14:textId="77777777" w:rsidR="00FA11CC" w:rsidRPr="000C2571" w:rsidRDefault="00FA11CC" w:rsidP="000C2571">
            <w:pPr>
              <w:ind w:firstLine="0"/>
              <w:jc w:val="left"/>
              <w:rPr>
                <w:sz w:val="22"/>
                <w:lang w:eastAsia="pt-BR"/>
              </w:rPr>
            </w:pPr>
            <w:r w:rsidRPr="000C2571">
              <w:rPr>
                <w:sz w:val="22"/>
                <w:lang w:eastAsia="pt-BR"/>
              </w:rPr>
              <w:t>Resultado do Tesouro Nacional</w:t>
            </w:r>
          </w:p>
        </w:tc>
        <w:tc>
          <w:tcPr>
            <w:tcW w:w="359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DB2C7F3" w14:textId="77777777" w:rsidR="00FA11CC" w:rsidRPr="000C2571" w:rsidRDefault="00FA11CC" w:rsidP="00CF40D4">
            <w:pPr>
              <w:spacing w:line="276" w:lineRule="auto"/>
              <w:ind w:firstLine="0"/>
              <w:jc w:val="left"/>
              <w:rPr>
                <w:sz w:val="22"/>
                <w:lang w:eastAsia="pt-BR"/>
              </w:rPr>
            </w:pPr>
            <w:r w:rsidRPr="000C2571">
              <w:rPr>
                <w:sz w:val="22"/>
                <w:lang w:eastAsia="pt-BR"/>
              </w:rPr>
              <w:t xml:space="preserve">Investimento total </w:t>
            </w:r>
          </w:p>
        </w:tc>
        <w:tc>
          <w:tcPr>
            <w:tcW w:w="8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EAD999C" w14:textId="77777777" w:rsidR="00FA11CC" w:rsidRPr="000C2571" w:rsidRDefault="00FA11CC" w:rsidP="00B01E74">
            <w:pPr>
              <w:ind w:firstLine="0"/>
              <w:jc w:val="right"/>
              <w:rPr>
                <w:sz w:val="22"/>
                <w:lang w:eastAsia="pt-BR"/>
              </w:rPr>
            </w:pPr>
            <w:r w:rsidRPr="000C2571">
              <w:rPr>
                <w:sz w:val="22"/>
                <w:lang w:eastAsia="pt-BR"/>
              </w:rPr>
              <w:t>46</w:t>
            </w:r>
          </w:p>
        </w:tc>
      </w:tr>
      <w:tr w:rsidR="00E85DCE" w:rsidRPr="003F5B1F" w14:paraId="50FD8EE0" w14:textId="77777777" w:rsidTr="00AA5406">
        <w:trPr>
          <w:trHeight w:val="248"/>
          <w:jc w:val="center"/>
        </w:trPr>
        <w:tc>
          <w:tcPr>
            <w:tcW w:w="1045" w:type="dxa"/>
            <w:vMerge/>
            <w:tcBorders>
              <w:top w:val="nil"/>
              <w:left w:val="single" w:sz="12" w:space="0" w:color="auto"/>
              <w:bottom w:val="nil"/>
              <w:right w:val="single" w:sz="12" w:space="0" w:color="auto"/>
            </w:tcBorders>
            <w:vAlign w:val="center"/>
            <w:hideMark/>
          </w:tcPr>
          <w:p w14:paraId="4AA6FA1F" w14:textId="77777777" w:rsidR="00FA11CC" w:rsidRPr="0072687E" w:rsidRDefault="00FA11CC" w:rsidP="000C2571">
            <w:pPr>
              <w:ind w:firstLine="0"/>
              <w:jc w:val="left"/>
              <w:rPr>
                <w:b/>
                <w:sz w:val="22"/>
                <w:lang w:eastAsia="pt-BR"/>
              </w:rPr>
            </w:pPr>
          </w:p>
        </w:tc>
        <w:tc>
          <w:tcPr>
            <w:tcW w:w="3575" w:type="dxa"/>
            <w:vMerge w:val="restart"/>
            <w:tcBorders>
              <w:top w:val="single" w:sz="4" w:space="0" w:color="auto"/>
              <w:left w:val="single" w:sz="12" w:space="0" w:color="auto"/>
              <w:bottom w:val="nil"/>
              <w:right w:val="single" w:sz="12" w:space="0" w:color="auto"/>
            </w:tcBorders>
            <w:shd w:val="clear" w:color="auto" w:fill="auto"/>
            <w:noWrap/>
            <w:vAlign w:val="center"/>
            <w:hideMark/>
          </w:tcPr>
          <w:p w14:paraId="02D65394" w14:textId="77777777" w:rsidR="00FA11CC" w:rsidRPr="000C2571" w:rsidRDefault="00FA11CC" w:rsidP="000C2571">
            <w:pPr>
              <w:ind w:firstLine="0"/>
              <w:jc w:val="left"/>
              <w:rPr>
                <w:sz w:val="22"/>
                <w:lang w:eastAsia="pt-BR"/>
              </w:rPr>
            </w:pPr>
            <w:r w:rsidRPr="000C2571">
              <w:rPr>
                <w:sz w:val="22"/>
                <w:lang w:eastAsia="pt-BR"/>
              </w:rPr>
              <w:t>Estatística de Finanças Trimestrais</w:t>
            </w:r>
          </w:p>
        </w:tc>
        <w:tc>
          <w:tcPr>
            <w:tcW w:w="359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350FFD9" w14:textId="77777777" w:rsidR="00FA11CC" w:rsidRPr="000C2571" w:rsidRDefault="00FA11CC" w:rsidP="00CF40D4">
            <w:pPr>
              <w:spacing w:line="276" w:lineRule="auto"/>
              <w:ind w:firstLine="0"/>
              <w:jc w:val="left"/>
              <w:rPr>
                <w:sz w:val="22"/>
                <w:lang w:eastAsia="pt-BR"/>
              </w:rPr>
            </w:pPr>
            <w:r w:rsidRPr="000C2571">
              <w:rPr>
                <w:sz w:val="22"/>
                <w:lang w:eastAsia="pt-BR"/>
              </w:rPr>
              <w:t>Aquisição de ativos não financeiros</w:t>
            </w:r>
          </w:p>
        </w:tc>
        <w:tc>
          <w:tcPr>
            <w:tcW w:w="8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7412B0" w14:textId="77777777" w:rsidR="00FA11CC" w:rsidRPr="000C2571" w:rsidRDefault="00FA11CC" w:rsidP="00B01E74">
            <w:pPr>
              <w:ind w:firstLine="0"/>
              <w:jc w:val="right"/>
              <w:rPr>
                <w:sz w:val="22"/>
                <w:lang w:eastAsia="pt-BR"/>
              </w:rPr>
            </w:pPr>
            <w:r w:rsidRPr="000C2571">
              <w:rPr>
                <w:sz w:val="22"/>
                <w:lang w:eastAsia="pt-BR"/>
              </w:rPr>
              <w:t>25</w:t>
            </w:r>
          </w:p>
        </w:tc>
      </w:tr>
      <w:tr w:rsidR="00E85DCE" w:rsidRPr="003F5B1F" w14:paraId="224DD44A" w14:textId="77777777" w:rsidTr="00AA5406">
        <w:trPr>
          <w:trHeight w:val="248"/>
          <w:jc w:val="center"/>
        </w:trPr>
        <w:tc>
          <w:tcPr>
            <w:tcW w:w="1045" w:type="dxa"/>
            <w:vMerge/>
            <w:tcBorders>
              <w:top w:val="nil"/>
              <w:left w:val="single" w:sz="12" w:space="0" w:color="auto"/>
              <w:bottom w:val="single" w:sz="12" w:space="0" w:color="auto"/>
              <w:right w:val="single" w:sz="12" w:space="0" w:color="auto"/>
            </w:tcBorders>
            <w:vAlign w:val="center"/>
            <w:hideMark/>
          </w:tcPr>
          <w:p w14:paraId="2A5F1645" w14:textId="77777777" w:rsidR="00FA11CC" w:rsidRPr="0072687E" w:rsidRDefault="00FA11CC" w:rsidP="000C2571">
            <w:pPr>
              <w:ind w:firstLine="0"/>
              <w:jc w:val="left"/>
              <w:rPr>
                <w:b/>
                <w:sz w:val="22"/>
                <w:lang w:eastAsia="pt-BR"/>
              </w:rPr>
            </w:pPr>
          </w:p>
        </w:tc>
        <w:tc>
          <w:tcPr>
            <w:tcW w:w="3575" w:type="dxa"/>
            <w:vMerge/>
            <w:tcBorders>
              <w:top w:val="nil"/>
              <w:left w:val="single" w:sz="12" w:space="0" w:color="auto"/>
              <w:bottom w:val="single" w:sz="12" w:space="0" w:color="auto"/>
              <w:right w:val="single" w:sz="12" w:space="0" w:color="auto"/>
            </w:tcBorders>
            <w:vAlign w:val="center"/>
            <w:hideMark/>
          </w:tcPr>
          <w:p w14:paraId="1CE62850" w14:textId="77777777" w:rsidR="00FA11CC" w:rsidRPr="000C2571" w:rsidRDefault="00FA11CC" w:rsidP="000C2571">
            <w:pPr>
              <w:ind w:firstLine="0"/>
              <w:jc w:val="left"/>
              <w:rPr>
                <w:sz w:val="22"/>
                <w:lang w:eastAsia="pt-BR"/>
              </w:rPr>
            </w:pPr>
          </w:p>
        </w:tc>
        <w:tc>
          <w:tcPr>
            <w:tcW w:w="359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4A55755" w14:textId="77777777" w:rsidR="00FA11CC" w:rsidRPr="000C2571" w:rsidRDefault="00FA11CC" w:rsidP="00CF40D4">
            <w:pPr>
              <w:spacing w:line="276" w:lineRule="auto"/>
              <w:ind w:firstLine="0"/>
              <w:jc w:val="left"/>
              <w:rPr>
                <w:sz w:val="22"/>
                <w:lang w:eastAsia="pt-BR"/>
              </w:rPr>
            </w:pPr>
            <w:r w:rsidRPr="000C2571">
              <w:rPr>
                <w:sz w:val="22"/>
                <w:lang w:eastAsia="pt-BR"/>
              </w:rPr>
              <w:t>Investimento líquido</w:t>
            </w:r>
          </w:p>
        </w:tc>
        <w:tc>
          <w:tcPr>
            <w:tcW w:w="8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61442A8" w14:textId="77777777" w:rsidR="00FA11CC" w:rsidRPr="000C2571" w:rsidRDefault="00FA11CC" w:rsidP="00B01E74">
            <w:pPr>
              <w:ind w:firstLine="0"/>
              <w:jc w:val="right"/>
              <w:rPr>
                <w:sz w:val="22"/>
                <w:lang w:eastAsia="pt-BR"/>
              </w:rPr>
            </w:pPr>
            <w:r w:rsidRPr="000C2571">
              <w:rPr>
                <w:sz w:val="22"/>
                <w:lang w:eastAsia="pt-BR"/>
              </w:rPr>
              <w:t>-16</w:t>
            </w:r>
          </w:p>
        </w:tc>
      </w:tr>
      <w:tr w:rsidR="00E85DCE" w:rsidRPr="003F5B1F" w14:paraId="38CEBE69" w14:textId="77777777" w:rsidTr="00AA5406">
        <w:trPr>
          <w:trHeight w:val="248"/>
          <w:jc w:val="center"/>
        </w:trPr>
        <w:tc>
          <w:tcPr>
            <w:tcW w:w="1045"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7CC6B21E" w14:textId="77777777" w:rsidR="00FA11CC" w:rsidRPr="0072687E" w:rsidRDefault="00FA11CC" w:rsidP="000C2571">
            <w:pPr>
              <w:ind w:firstLine="0"/>
              <w:jc w:val="left"/>
              <w:rPr>
                <w:b/>
                <w:sz w:val="22"/>
                <w:lang w:eastAsia="pt-BR"/>
              </w:rPr>
            </w:pPr>
            <w:r w:rsidRPr="0072687E">
              <w:rPr>
                <w:b/>
                <w:sz w:val="22"/>
                <w:lang w:eastAsia="pt-BR"/>
              </w:rPr>
              <w:t>Estadual</w:t>
            </w:r>
          </w:p>
        </w:tc>
        <w:tc>
          <w:tcPr>
            <w:tcW w:w="357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DAC2773" w14:textId="77777777" w:rsidR="00FA11CC" w:rsidRPr="000C2571" w:rsidRDefault="00FA11CC" w:rsidP="000C2571">
            <w:pPr>
              <w:ind w:firstLine="0"/>
              <w:jc w:val="left"/>
              <w:rPr>
                <w:sz w:val="22"/>
                <w:lang w:eastAsia="pt-BR"/>
              </w:rPr>
            </w:pPr>
            <w:r w:rsidRPr="000C2571">
              <w:rPr>
                <w:sz w:val="22"/>
                <w:lang w:eastAsia="pt-BR"/>
              </w:rPr>
              <w:t>Boletim dos Entes Subnacionais</w:t>
            </w:r>
          </w:p>
        </w:tc>
        <w:tc>
          <w:tcPr>
            <w:tcW w:w="359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0725F0B" w14:textId="77777777" w:rsidR="00FA11CC" w:rsidRPr="000C2571" w:rsidRDefault="00FA11CC" w:rsidP="00CF40D4">
            <w:pPr>
              <w:spacing w:line="276" w:lineRule="auto"/>
              <w:ind w:firstLine="0"/>
              <w:jc w:val="left"/>
              <w:rPr>
                <w:sz w:val="22"/>
                <w:lang w:eastAsia="pt-BR"/>
              </w:rPr>
            </w:pPr>
            <w:r w:rsidRPr="000C2571">
              <w:rPr>
                <w:sz w:val="22"/>
                <w:lang w:eastAsia="pt-BR"/>
              </w:rPr>
              <w:t>Investimentos</w:t>
            </w:r>
          </w:p>
        </w:tc>
        <w:tc>
          <w:tcPr>
            <w:tcW w:w="8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EB4CAA4" w14:textId="77777777" w:rsidR="00FA11CC" w:rsidRPr="000C2571" w:rsidRDefault="00FA11CC" w:rsidP="00B01E74">
            <w:pPr>
              <w:ind w:firstLine="0"/>
              <w:jc w:val="right"/>
              <w:rPr>
                <w:sz w:val="22"/>
                <w:lang w:eastAsia="pt-BR"/>
              </w:rPr>
            </w:pPr>
            <w:r w:rsidRPr="000C2571">
              <w:rPr>
                <w:sz w:val="22"/>
                <w:lang w:eastAsia="pt-BR"/>
              </w:rPr>
              <w:t>34</w:t>
            </w:r>
          </w:p>
        </w:tc>
      </w:tr>
      <w:tr w:rsidR="00E85DCE" w:rsidRPr="003F5B1F" w14:paraId="2C985CCD" w14:textId="77777777" w:rsidTr="00AA5406">
        <w:trPr>
          <w:trHeight w:val="248"/>
          <w:jc w:val="center"/>
        </w:trPr>
        <w:tc>
          <w:tcPr>
            <w:tcW w:w="1045" w:type="dxa"/>
            <w:vMerge/>
            <w:tcBorders>
              <w:top w:val="nil"/>
              <w:left w:val="single" w:sz="12" w:space="0" w:color="auto"/>
              <w:bottom w:val="nil"/>
              <w:right w:val="single" w:sz="12" w:space="0" w:color="auto"/>
            </w:tcBorders>
            <w:vAlign w:val="center"/>
            <w:hideMark/>
          </w:tcPr>
          <w:p w14:paraId="6E6B965D" w14:textId="77777777" w:rsidR="00FA11CC" w:rsidRPr="0072687E" w:rsidRDefault="00FA11CC" w:rsidP="000C2571">
            <w:pPr>
              <w:ind w:firstLine="0"/>
              <w:jc w:val="left"/>
              <w:rPr>
                <w:b/>
                <w:sz w:val="22"/>
                <w:lang w:eastAsia="pt-BR"/>
              </w:rPr>
            </w:pPr>
          </w:p>
        </w:tc>
        <w:tc>
          <w:tcPr>
            <w:tcW w:w="3575" w:type="dxa"/>
            <w:vMerge w:val="restart"/>
            <w:tcBorders>
              <w:top w:val="single" w:sz="4" w:space="0" w:color="auto"/>
              <w:left w:val="single" w:sz="12" w:space="0" w:color="auto"/>
              <w:bottom w:val="nil"/>
              <w:right w:val="single" w:sz="12" w:space="0" w:color="auto"/>
            </w:tcBorders>
            <w:shd w:val="clear" w:color="auto" w:fill="auto"/>
            <w:noWrap/>
            <w:vAlign w:val="center"/>
            <w:hideMark/>
          </w:tcPr>
          <w:p w14:paraId="30744DEB" w14:textId="77777777" w:rsidR="00FA11CC" w:rsidRPr="000C2571" w:rsidRDefault="00FA11CC" w:rsidP="000C2571">
            <w:pPr>
              <w:ind w:firstLine="0"/>
              <w:jc w:val="left"/>
              <w:rPr>
                <w:sz w:val="22"/>
                <w:lang w:eastAsia="pt-BR"/>
              </w:rPr>
            </w:pPr>
            <w:r w:rsidRPr="000C2571">
              <w:rPr>
                <w:sz w:val="22"/>
                <w:lang w:eastAsia="pt-BR"/>
              </w:rPr>
              <w:t>Estatística de Finanças Trimestrais</w:t>
            </w:r>
          </w:p>
        </w:tc>
        <w:tc>
          <w:tcPr>
            <w:tcW w:w="359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8DE0C01" w14:textId="77777777" w:rsidR="00FA11CC" w:rsidRPr="000C2571" w:rsidRDefault="00FA11CC" w:rsidP="00CF40D4">
            <w:pPr>
              <w:spacing w:line="276" w:lineRule="auto"/>
              <w:ind w:firstLine="0"/>
              <w:jc w:val="left"/>
              <w:rPr>
                <w:sz w:val="22"/>
                <w:lang w:eastAsia="pt-BR"/>
              </w:rPr>
            </w:pPr>
            <w:r w:rsidRPr="000C2571">
              <w:rPr>
                <w:sz w:val="22"/>
                <w:lang w:eastAsia="pt-BR"/>
              </w:rPr>
              <w:t>Aquisição de ativos não financeiros</w:t>
            </w:r>
          </w:p>
        </w:tc>
        <w:tc>
          <w:tcPr>
            <w:tcW w:w="8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97F882F" w14:textId="77777777" w:rsidR="00FA11CC" w:rsidRPr="000C2571" w:rsidRDefault="00FA11CC" w:rsidP="00B01E74">
            <w:pPr>
              <w:ind w:firstLine="0"/>
              <w:jc w:val="right"/>
              <w:rPr>
                <w:sz w:val="22"/>
                <w:lang w:eastAsia="pt-BR"/>
              </w:rPr>
            </w:pPr>
            <w:r w:rsidRPr="000C2571">
              <w:rPr>
                <w:sz w:val="22"/>
                <w:lang w:eastAsia="pt-BR"/>
              </w:rPr>
              <w:t>33</w:t>
            </w:r>
          </w:p>
        </w:tc>
      </w:tr>
      <w:tr w:rsidR="00E85DCE" w:rsidRPr="003F5B1F" w14:paraId="07C014F5" w14:textId="77777777" w:rsidTr="00AA5406">
        <w:trPr>
          <w:trHeight w:val="248"/>
          <w:jc w:val="center"/>
        </w:trPr>
        <w:tc>
          <w:tcPr>
            <w:tcW w:w="1045" w:type="dxa"/>
            <w:vMerge/>
            <w:tcBorders>
              <w:top w:val="nil"/>
              <w:left w:val="single" w:sz="12" w:space="0" w:color="auto"/>
              <w:bottom w:val="single" w:sz="12" w:space="0" w:color="auto"/>
              <w:right w:val="single" w:sz="12" w:space="0" w:color="auto"/>
            </w:tcBorders>
            <w:vAlign w:val="center"/>
            <w:hideMark/>
          </w:tcPr>
          <w:p w14:paraId="6C2CE356" w14:textId="77777777" w:rsidR="00FA11CC" w:rsidRPr="0072687E" w:rsidRDefault="00FA11CC" w:rsidP="000C2571">
            <w:pPr>
              <w:ind w:firstLine="0"/>
              <w:jc w:val="left"/>
              <w:rPr>
                <w:b/>
                <w:sz w:val="22"/>
                <w:lang w:eastAsia="pt-BR"/>
              </w:rPr>
            </w:pPr>
          </w:p>
        </w:tc>
        <w:tc>
          <w:tcPr>
            <w:tcW w:w="3575" w:type="dxa"/>
            <w:vMerge/>
            <w:tcBorders>
              <w:top w:val="nil"/>
              <w:left w:val="single" w:sz="12" w:space="0" w:color="auto"/>
              <w:bottom w:val="single" w:sz="12" w:space="0" w:color="auto"/>
              <w:right w:val="single" w:sz="12" w:space="0" w:color="auto"/>
            </w:tcBorders>
            <w:vAlign w:val="center"/>
            <w:hideMark/>
          </w:tcPr>
          <w:p w14:paraId="111A434B" w14:textId="77777777" w:rsidR="00FA11CC" w:rsidRPr="000C2571" w:rsidRDefault="00FA11CC" w:rsidP="000C2571">
            <w:pPr>
              <w:ind w:firstLine="0"/>
              <w:jc w:val="left"/>
              <w:rPr>
                <w:sz w:val="22"/>
                <w:lang w:eastAsia="pt-BR"/>
              </w:rPr>
            </w:pPr>
          </w:p>
        </w:tc>
        <w:tc>
          <w:tcPr>
            <w:tcW w:w="359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7946133" w14:textId="77777777" w:rsidR="00FA11CC" w:rsidRPr="000C2571" w:rsidRDefault="00FA11CC" w:rsidP="00CF40D4">
            <w:pPr>
              <w:spacing w:line="276" w:lineRule="auto"/>
              <w:ind w:firstLine="0"/>
              <w:jc w:val="left"/>
              <w:rPr>
                <w:sz w:val="22"/>
                <w:lang w:eastAsia="pt-BR"/>
              </w:rPr>
            </w:pPr>
            <w:r w:rsidRPr="000C2571">
              <w:rPr>
                <w:sz w:val="22"/>
                <w:lang w:eastAsia="pt-BR"/>
              </w:rPr>
              <w:t xml:space="preserve">Investimento líquido </w:t>
            </w:r>
          </w:p>
        </w:tc>
        <w:tc>
          <w:tcPr>
            <w:tcW w:w="8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261A9E8" w14:textId="77777777" w:rsidR="00FA11CC" w:rsidRPr="000C2571" w:rsidRDefault="00FA11CC" w:rsidP="00B01E74">
            <w:pPr>
              <w:ind w:firstLine="0"/>
              <w:jc w:val="right"/>
              <w:rPr>
                <w:sz w:val="22"/>
                <w:lang w:eastAsia="pt-BR"/>
              </w:rPr>
            </w:pPr>
            <w:r w:rsidRPr="000C2571">
              <w:rPr>
                <w:sz w:val="22"/>
                <w:lang w:eastAsia="pt-BR"/>
              </w:rPr>
              <w:t>-5</w:t>
            </w:r>
          </w:p>
        </w:tc>
      </w:tr>
      <w:tr w:rsidR="00E85DCE" w:rsidRPr="003F5B1F" w14:paraId="0D8F6BF1" w14:textId="77777777" w:rsidTr="00AA5406">
        <w:trPr>
          <w:trHeight w:val="248"/>
          <w:jc w:val="center"/>
        </w:trPr>
        <w:tc>
          <w:tcPr>
            <w:tcW w:w="1045"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33CE7B3D" w14:textId="77777777" w:rsidR="00FA11CC" w:rsidRPr="0072687E" w:rsidRDefault="00FA11CC" w:rsidP="000C2571">
            <w:pPr>
              <w:ind w:firstLine="0"/>
              <w:jc w:val="left"/>
              <w:rPr>
                <w:b/>
                <w:sz w:val="22"/>
                <w:lang w:eastAsia="pt-BR"/>
              </w:rPr>
            </w:pPr>
            <w:r w:rsidRPr="0072687E">
              <w:rPr>
                <w:b/>
                <w:sz w:val="22"/>
                <w:lang w:eastAsia="pt-BR"/>
              </w:rPr>
              <w:t>Municipal</w:t>
            </w:r>
          </w:p>
        </w:tc>
        <w:tc>
          <w:tcPr>
            <w:tcW w:w="357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35A9B05" w14:textId="77777777" w:rsidR="00FA11CC" w:rsidRPr="000C2571" w:rsidRDefault="00FA11CC" w:rsidP="000C2571">
            <w:pPr>
              <w:ind w:firstLine="0"/>
              <w:jc w:val="left"/>
              <w:rPr>
                <w:sz w:val="22"/>
                <w:lang w:eastAsia="pt-BR"/>
              </w:rPr>
            </w:pPr>
            <w:r w:rsidRPr="000C2571">
              <w:rPr>
                <w:sz w:val="22"/>
                <w:lang w:eastAsia="pt-BR"/>
              </w:rPr>
              <w:t>Boletim dos Entes Subnacionais</w:t>
            </w:r>
          </w:p>
        </w:tc>
        <w:tc>
          <w:tcPr>
            <w:tcW w:w="359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5F9C9B7" w14:textId="77777777" w:rsidR="00FA11CC" w:rsidRPr="000C2571" w:rsidRDefault="00FA11CC" w:rsidP="00CF40D4">
            <w:pPr>
              <w:spacing w:line="276" w:lineRule="auto"/>
              <w:ind w:firstLine="0"/>
              <w:jc w:val="left"/>
              <w:rPr>
                <w:sz w:val="22"/>
                <w:lang w:eastAsia="pt-BR"/>
              </w:rPr>
            </w:pPr>
            <w:r w:rsidRPr="000C2571">
              <w:rPr>
                <w:sz w:val="22"/>
                <w:lang w:eastAsia="pt-BR"/>
              </w:rPr>
              <w:t>Investimentos</w:t>
            </w:r>
          </w:p>
        </w:tc>
        <w:tc>
          <w:tcPr>
            <w:tcW w:w="8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ABC1C1E" w14:textId="77777777" w:rsidR="00FA11CC" w:rsidRPr="000C2571" w:rsidRDefault="00FA11CC" w:rsidP="00B01E74">
            <w:pPr>
              <w:ind w:firstLine="0"/>
              <w:jc w:val="right"/>
              <w:rPr>
                <w:sz w:val="22"/>
                <w:lang w:eastAsia="pt-BR"/>
              </w:rPr>
            </w:pPr>
            <w:r w:rsidRPr="000C2571">
              <w:rPr>
                <w:sz w:val="22"/>
                <w:lang w:eastAsia="pt-BR"/>
              </w:rPr>
              <w:t>25</w:t>
            </w:r>
          </w:p>
        </w:tc>
      </w:tr>
      <w:tr w:rsidR="00E85DCE" w:rsidRPr="003F5B1F" w14:paraId="69F221F1" w14:textId="77777777" w:rsidTr="00AA5406">
        <w:trPr>
          <w:trHeight w:val="248"/>
          <w:jc w:val="center"/>
        </w:trPr>
        <w:tc>
          <w:tcPr>
            <w:tcW w:w="1045" w:type="dxa"/>
            <w:vMerge/>
            <w:tcBorders>
              <w:top w:val="nil"/>
              <w:left w:val="single" w:sz="12" w:space="0" w:color="auto"/>
              <w:bottom w:val="single" w:sz="4" w:space="0" w:color="000000"/>
              <w:right w:val="single" w:sz="12" w:space="0" w:color="auto"/>
            </w:tcBorders>
            <w:vAlign w:val="center"/>
            <w:hideMark/>
          </w:tcPr>
          <w:p w14:paraId="522CA323" w14:textId="77777777" w:rsidR="00FA11CC" w:rsidRPr="000C2571" w:rsidRDefault="00FA11CC" w:rsidP="000C2571">
            <w:pPr>
              <w:ind w:firstLine="0"/>
              <w:jc w:val="left"/>
              <w:rPr>
                <w:sz w:val="22"/>
                <w:lang w:eastAsia="pt-BR"/>
              </w:rPr>
            </w:pPr>
          </w:p>
        </w:tc>
        <w:tc>
          <w:tcPr>
            <w:tcW w:w="3575" w:type="dxa"/>
            <w:vMerge w:val="restart"/>
            <w:tcBorders>
              <w:top w:val="single" w:sz="4" w:space="0" w:color="auto"/>
              <w:left w:val="single" w:sz="12" w:space="0" w:color="auto"/>
              <w:bottom w:val="single" w:sz="4" w:space="0" w:color="000000"/>
              <w:right w:val="single" w:sz="12" w:space="0" w:color="auto"/>
            </w:tcBorders>
            <w:shd w:val="clear" w:color="auto" w:fill="auto"/>
            <w:noWrap/>
            <w:vAlign w:val="center"/>
            <w:hideMark/>
          </w:tcPr>
          <w:p w14:paraId="157B6476" w14:textId="77777777" w:rsidR="00FA11CC" w:rsidRPr="000C2571" w:rsidRDefault="00FA11CC" w:rsidP="000C2571">
            <w:pPr>
              <w:ind w:firstLine="0"/>
              <w:jc w:val="left"/>
              <w:rPr>
                <w:sz w:val="22"/>
                <w:lang w:eastAsia="pt-BR"/>
              </w:rPr>
            </w:pPr>
            <w:r w:rsidRPr="000C2571">
              <w:rPr>
                <w:sz w:val="22"/>
                <w:lang w:eastAsia="pt-BR"/>
              </w:rPr>
              <w:t>Estatística de Finanças Trimestrais</w:t>
            </w:r>
          </w:p>
        </w:tc>
        <w:tc>
          <w:tcPr>
            <w:tcW w:w="359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9C9C82D" w14:textId="77777777" w:rsidR="00FA11CC" w:rsidRPr="000C2571" w:rsidRDefault="00FA11CC" w:rsidP="00CF40D4">
            <w:pPr>
              <w:spacing w:line="276" w:lineRule="auto"/>
              <w:ind w:firstLine="0"/>
              <w:jc w:val="left"/>
              <w:rPr>
                <w:sz w:val="22"/>
                <w:lang w:eastAsia="pt-BR"/>
              </w:rPr>
            </w:pPr>
            <w:r w:rsidRPr="000C2571">
              <w:rPr>
                <w:sz w:val="22"/>
                <w:lang w:eastAsia="pt-BR"/>
              </w:rPr>
              <w:t>Aquisição de ativos não financeiros</w:t>
            </w:r>
          </w:p>
        </w:tc>
        <w:tc>
          <w:tcPr>
            <w:tcW w:w="8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1140DD" w14:textId="77777777" w:rsidR="00FA11CC" w:rsidRPr="000C2571" w:rsidRDefault="00FA11CC" w:rsidP="00B01E74">
            <w:pPr>
              <w:ind w:firstLine="0"/>
              <w:jc w:val="right"/>
              <w:rPr>
                <w:sz w:val="22"/>
                <w:lang w:eastAsia="pt-BR"/>
              </w:rPr>
            </w:pPr>
            <w:r w:rsidRPr="000C2571">
              <w:rPr>
                <w:sz w:val="22"/>
                <w:lang w:eastAsia="pt-BR"/>
              </w:rPr>
              <w:t>23</w:t>
            </w:r>
          </w:p>
        </w:tc>
      </w:tr>
      <w:tr w:rsidR="00E85DCE" w:rsidRPr="003F5B1F" w14:paraId="63540E52" w14:textId="77777777" w:rsidTr="00AA5406">
        <w:trPr>
          <w:trHeight w:val="248"/>
          <w:jc w:val="center"/>
        </w:trPr>
        <w:tc>
          <w:tcPr>
            <w:tcW w:w="1045" w:type="dxa"/>
            <w:vMerge/>
            <w:tcBorders>
              <w:top w:val="nil"/>
              <w:left w:val="single" w:sz="12" w:space="0" w:color="auto"/>
              <w:bottom w:val="single" w:sz="12" w:space="0" w:color="auto"/>
              <w:right w:val="single" w:sz="12" w:space="0" w:color="auto"/>
            </w:tcBorders>
            <w:vAlign w:val="center"/>
            <w:hideMark/>
          </w:tcPr>
          <w:p w14:paraId="090D1B95" w14:textId="77777777" w:rsidR="00FA11CC" w:rsidRPr="000C2571" w:rsidRDefault="00FA11CC" w:rsidP="000C2571">
            <w:pPr>
              <w:ind w:firstLine="0"/>
              <w:jc w:val="left"/>
              <w:rPr>
                <w:sz w:val="22"/>
                <w:lang w:eastAsia="pt-BR"/>
              </w:rPr>
            </w:pPr>
          </w:p>
        </w:tc>
        <w:tc>
          <w:tcPr>
            <w:tcW w:w="3575" w:type="dxa"/>
            <w:vMerge/>
            <w:tcBorders>
              <w:top w:val="nil"/>
              <w:left w:val="single" w:sz="12" w:space="0" w:color="auto"/>
              <w:bottom w:val="single" w:sz="12" w:space="0" w:color="auto"/>
              <w:right w:val="single" w:sz="12" w:space="0" w:color="auto"/>
            </w:tcBorders>
            <w:vAlign w:val="center"/>
            <w:hideMark/>
          </w:tcPr>
          <w:p w14:paraId="56E7CE5D" w14:textId="77777777" w:rsidR="00FA11CC" w:rsidRPr="000C2571" w:rsidRDefault="00FA11CC" w:rsidP="000C2571">
            <w:pPr>
              <w:ind w:firstLine="0"/>
              <w:jc w:val="left"/>
              <w:rPr>
                <w:sz w:val="22"/>
                <w:lang w:eastAsia="pt-BR"/>
              </w:rPr>
            </w:pPr>
          </w:p>
        </w:tc>
        <w:tc>
          <w:tcPr>
            <w:tcW w:w="359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5E49836" w14:textId="77777777" w:rsidR="00FA11CC" w:rsidRPr="000C2571" w:rsidRDefault="00FA11CC" w:rsidP="00CF40D4">
            <w:pPr>
              <w:spacing w:line="276" w:lineRule="auto"/>
              <w:ind w:firstLine="0"/>
              <w:jc w:val="left"/>
              <w:rPr>
                <w:sz w:val="22"/>
                <w:lang w:eastAsia="pt-BR"/>
              </w:rPr>
            </w:pPr>
            <w:r w:rsidRPr="000C2571">
              <w:rPr>
                <w:sz w:val="22"/>
                <w:lang w:eastAsia="pt-BR"/>
              </w:rPr>
              <w:t xml:space="preserve">Investimento líquido </w:t>
            </w:r>
          </w:p>
        </w:tc>
        <w:tc>
          <w:tcPr>
            <w:tcW w:w="8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DAFFB99" w14:textId="77777777" w:rsidR="00FA11CC" w:rsidRPr="000C2571" w:rsidRDefault="00FA11CC" w:rsidP="00B01E74">
            <w:pPr>
              <w:ind w:firstLine="0"/>
              <w:jc w:val="right"/>
              <w:rPr>
                <w:sz w:val="22"/>
                <w:lang w:eastAsia="pt-BR"/>
              </w:rPr>
            </w:pPr>
            <w:r w:rsidRPr="000C2571">
              <w:rPr>
                <w:sz w:val="22"/>
                <w:lang w:eastAsia="pt-BR"/>
              </w:rPr>
              <w:t>-10</w:t>
            </w:r>
          </w:p>
        </w:tc>
      </w:tr>
    </w:tbl>
    <w:p w14:paraId="7F751F5D" w14:textId="1C197820" w:rsidR="00726D57" w:rsidRDefault="0029000C" w:rsidP="00726D57">
      <w:pPr>
        <w:pStyle w:val="Subttulo"/>
      </w:pPr>
      <w:r>
        <w:t xml:space="preserve">Fonte: </w:t>
      </w:r>
      <w:r w:rsidR="00726D57">
        <w:t>Secretaria do Tesouro Nacional</w:t>
      </w:r>
      <w:r w:rsidR="0072687E">
        <w:t>. Elaboração própria.</w:t>
      </w:r>
    </w:p>
    <w:p w14:paraId="7DEF082F" w14:textId="49EF6150" w:rsidR="00821F28" w:rsidRPr="003F5B1F" w:rsidRDefault="00821F28" w:rsidP="00BC79E9">
      <w:pPr>
        <w:pStyle w:val="Subttulo"/>
      </w:pPr>
    </w:p>
    <w:p w14:paraId="7C4A0229" w14:textId="77777777" w:rsidR="001338D0" w:rsidRPr="003F5B1F" w:rsidRDefault="001338D0" w:rsidP="000B7B0D"/>
    <w:p w14:paraId="6D65F7A8" w14:textId="7BDB3709" w:rsidR="00790733" w:rsidRPr="003F5B1F" w:rsidRDefault="00790733" w:rsidP="000B7B0D"/>
    <w:p w14:paraId="23DB48EF" w14:textId="2E89CB9F" w:rsidR="00AC1067" w:rsidRPr="003F5B1F" w:rsidRDefault="00AC1067" w:rsidP="000B7B0D"/>
    <w:p w14:paraId="77556195" w14:textId="77777777" w:rsidR="00AC1067" w:rsidRPr="003F5B1F" w:rsidRDefault="00AC1067" w:rsidP="000B7B0D"/>
    <w:p w14:paraId="1770DE88" w14:textId="6015B9D5" w:rsidR="00790733" w:rsidRPr="003F5B1F" w:rsidRDefault="00790733" w:rsidP="000B7B0D"/>
    <w:p w14:paraId="3C870396" w14:textId="22A157DA" w:rsidR="00790733" w:rsidRPr="003F5B1F" w:rsidRDefault="00790733" w:rsidP="000B7B0D"/>
    <w:p w14:paraId="22B40F2D" w14:textId="70B70809" w:rsidR="00790733" w:rsidRPr="003F5B1F" w:rsidRDefault="00790733" w:rsidP="000B7B0D"/>
    <w:p w14:paraId="38BC478B" w14:textId="2A116628" w:rsidR="00790733" w:rsidRPr="003F5B1F" w:rsidRDefault="00790733" w:rsidP="000B7B0D"/>
    <w:p w14:paraId="7888CB05" w14:textId="32E16B63" w:rsidR="00790733" w:rsidRPr="003F5B1F" w:rsidRDefault="00790733" w:rsidP="000B7B0D"/>
    <w:p w14:paraId="2AA323AA" w14:textId="2D4FE6DD" w:rsidR="00E6209C" w:rsidRDefault="003E4750" w:rsidP="00B46FAA">
      <w:pPr>
        <w:pStyle w:val="Ttulo1"/>
      </w:pPr>
      <w:bookmarkStart w:id="81" w:name="_Toc16087713"/>
      <w:r>
        <w:lastRenderedPageBreak/>
        <w:t>5</w:t>
      </w:r>
      <w:r w:rsidR="00E61C2A">
        <w:t>.</w:t>
      </w:r>
      <w:r w:rsidR="00E6209C">
        <w:t xml:space="preserve"> DISCUSSÃO</w:t>
      </w:r>
      <w:r w:rsidR="00C610E6">
        <w:t xml:space="preserve"> DOS RESULTADOS</w:t>
      </w:r>
      <w:bookmarkEnd w:id="81"/>
    </w:p>
    <w:p w14:paraId="6D5888AB" w14:textId="77777777" w:rsidR="0073651C" w:rsidRPr="0073651C" w:rsidRDefault="0073651C" w:rsidP="0073651C"/>
    <w:p w14:paraId="2E021BC4" w14:textId="691E8DA8" w:rsidR="00E6209C" w:rsidRDefault="009A1A63" w:rsidP="009A1A63">
      <w:r>
        <w:t xml:space="preserve">Como se pode depreender </w:t>
      </w:r>
      <w:r w:rsidR="00FA3476">
        <w:t>do</w:t>
      </w:r>
      <w:r w:rsidR="005F1BEE">
        <w:t>s</w:t>
      </w:r>
      <w:r w:rsidR="00FA3476">
        <w:t xml:space="preserve"> </w:t>
      </w:r>
      <w:r w:rsidR="005F1BEE">
        <w:t xml:space="preserve">dois últimos </w:t>
      </w:r>
      <w:r w:rsidR="00FA3476">
        <w:t>capítulo</w:t>
      </w:r>
      <w:r w:rsidR="005F1BEE">
        <w:t>s</w:t>
      </w:r>
      <w:r w:rsidR="00FA3476">
        <w:t xml:space="preserve">, </w:t>
      </w:r>
      <w:r w:rsidR="00C82CE2">
        <w:t xml:space="preserve">o Resultado do Tesouro Nacional, </w:t>
      </w:r>
      <w:r w:rsidR="006C4F7B">
        <w:t xml:space="preserve">as Estatísticas Fiscais Trimestrais </w:t>
      </w:r>
      <w:r w:rsidR="00C82CE2">
        <w:t>e o Boletim dos Entes Subnacionais</w:t>
      </w:r>
      <w:r w:rsidR="006C4F7B">
        <w:t xml:space="preserve"> </w:t>
      </w:r>
      <w:r w:rsidR="00961170">
        <w:t>revelam o esforço governamental em disponibilizar dados à sociedade</w:t>
      </w:r>
      <w:r w:rsidR="00425ECF">
        <w:t>. Esses documentos</w:t>
      </w:r>
      <w:r w:rsidR="00002CC3">
        <w:t xml:space="preserve">, em consonância com a </w:t>
      </w:r>
      <w:r w:rsidR="00954E23">
        <w:t>revisão bibliográfica</w:t>
      </w:r>
      <w:r w:rsidR="000B6A0F">
        <w:t xml:space="preserve"> sobre </w:t>
      </w:r>
      <w:r w:rsidR="00C45E4C">
        <w:t>exposição</w:t>
      </w:r>
      <w:r w:rsidR="00E4754C">
        <w:t xml:space="preserve"> do governo aos cidadãos</w:t>
      </w:r>
      <w:r w:rsidR="00954E23">
        <w:t>,</w:t>
      </w:r>
      <w:r w:rsidR="00E35679">
        <w:t xml:space="preserve"> </w:t>
      </w:r>
      <w:r w:rsidR="00580DBF">
        <w:t>fortalecem</w:t>
      </w:r>
      <w:r w:rsidR="00FB09A3">
        <w:t xml:space="preserve"> a crescente abertura</w:t>
      </w:r>
      <w:r w:rsidR="000478C0">
        <w:t xml:space="preserve"> das operações e a</w:t>
      </w:r>
      <w:r w:rsidR="002D696F">
        <w:t>tividades</w:t>
      </w:r>
      <w:r w:rsidR="000478C0">
        <w:t xml:space="preserve"> do Estado</w:t>
      </w:r>
      <w:r w:rsidR="00BC592B">
        <w:t xml:space="preserve"> </w:t>
      </w:r>
      <w:r w:rsidR="0076060A">
        <w:t xml:space="preserve">e consolidam </w:t>
      </w:r>
      <w:r w:rsidR="007D5BC4">
        <w:t xml:space="preserve">o aumento dos meios de acesso </w:t>
      </w:r>
      <w:r w:rsidR="00FE69F9">
        <w:t>à</w:t>
      </w:r>
      <w:r w:rsidR="007D5BC4">
        <w:t xml:space="preserve"> informação</w:t>
      </w:r>
      <w:r w:rsidR="00C12339">
        <w:t xml:space="preserve"> e </w:t>
      </w:r>
      <w:r w:rsidR="008138A9">
        <w:t xml:space="preserve">aos </w:t>
      </w:r>
      <w:r w:rsidR="00C12339">
        <w:t>documentos da Administração Pública.</w:t>
      </w:r>
      <w:r w:rsidR="00577E62">
        <w:t xml:space="preserve"> </w:t>
      </w:r>
    </w:p>
    <w:p w14:paraId="2CDD53FA" w14:textId="215EF98A" w:rsidR="006C5F96" w:rsidRDefault="00455139" w:rsidP="00113133">
      <w:r>
        <w:t xml:space="preserve">Nesse sentido, </w:t>
      </w:r>
      <w:r w:rsidR="0039721F">
        <w:t xml:space="preserve">os relatórios da STN analisados neste estudo </w:t>
      </w:r>
      <w:r w:rsidR="003D2CAF">
        <w:t xml:space="preserve">expõem </w:t>
      </w:r>
      <w:r w:rsidR="00452416">
        <w:t>detalhes sobre o</w:t>
      </w:r>
      <w:r w:rsidR="00191A75">
        <w:t xml:space="preserve"> valor despendido </w:t>
      </w:r>
      <w:r w:rsidR="00627B8E">
        <w:t>com os empregados</w:t>
      </w:r>
      <w:r w:rsidR="00D333B9">
        <w:t xml:space="preserve">, </w:t>
      </w:r>
      <w:r w:rsidR="003E79C5">
        <w:t xml:space="preserve">com </w:t>
      </w:r>
      <w:r w:rsidR="00D333B9">
        <w:t xml:space="preserve">os aposentados e </w:t>
      </w:r>
      <w:r w:rsidR="003E79C5">
        <w:t xml:space="preserve">os </w:t>
      </w:r>
      <w:r w:rsidR="00D333B9">
        <w:t>pensionistas</w:t>
      </w:r>
      <w:r w:rsidR="003E79C5">
        <w:t>, assim como</w:t>
      </w:r>
      <w:r w:rsidR="00A67D1C">
        <w:t xml:space="preserve"> </w:t>
      </w:r>
      <w:r w:rsidR="003E79C5">
        <w:t>o recurso utilizado par</w:t>
      </w:r>
      <w:r w:rsidR="00415657">
        <w:t xml:space="preserve">a investimento </w:t>
      </w:r>
      <w:r w:rsidR="0092234F">
        <w:t>público</w:t>
      </w:r>
      <w:r w:rsidR="00B827AF">
        <w:t>, cobrindo todas as esferas de governo</w:t>
      </w:r>
      <w:r w:rsidR="00C21922">
        <w:t xml:space="preserve"> (federal, estadua</w:t>
      </w:r>
      <w:r w:rsidR="00BD3723">
        <w:t>l/distrital e municipal) e todos os poderes (</w:t>
      </w:r>
      <w:r w:rsidR="00B75C53">
        <w:t>E</w:t>
      </w:r>
      <w:r w:rsidR="00BD3723">
        <w:t xml:space="preserve">xecutivo, </w:t>
      </w:r>
      <w:r w:rsidR="00B75C53">
        <w:t>L</w:t>
      </w:r>
      <w:r w:rsidR="00BD3723">
        <w:t xml:space="preserve">egislativo e </w:t>
      </w:r>
      <w:r w:rsidR="00B75C53">
        <w:t>J</w:t>
      </w:r>
      <w:r w:rsidR="00BD3723">
        <w:t>udiciário)</w:t>
      </w:r>
      <w:r w:rsidR="006F5E5A">
        <w:t>.</w:t>
      </w:r>
      <w:r w:rsidR="00A67D1C">
        <w:t xml:space="preserve"> </w:t>
      </w:r>
      <w:r w:rsidR="003D2CAF">
        <w:t xml:space="preserve"> </w:t>
      </w:r>
    </w:p>
    <w:p w14:paraId="107FBF06" w14:textId="17429200" w:rsidR="00E6209C" w:rsidRDefault="00113133" w:rsidP="00113133">
      <w:r>
        <w:t xml:space="preserve">Por outro lado, </w:t>
      </w:r>
      <w:r w:rsidR="00563A70">
        <w:t>a abertura do Estado</w:t>
      </w:r>
      <w:r w:rsidR="000163CF">
        <w:t xml:space="preserve">, apesar de ser uma condição necessária, não </w:t>
      </w:r>
      <w:r w:rsidR="00FF190F">
        <w:t xml:space="preserve">é suficiente para garantir a transparência </w:t>
      </w:r>
      <w:r w:rsidR="00D122CB">
        <w:t xml:space="preserve">pública. </w:t>
      </w:r>
      <w:r w:rsidR="000F16EB">
        <w:t xml:space="preserve">A teoria </w:t>
      </w:r>
      <w:r w:rsidR="00357EA6">
        <w:t xml:space="preserve">da comunicação </w:t>
      </w:r>
      <w:r w:rsidR="000F16EB">
        <w:t xml:space="preserve">revisada </w:t>
      </w:r>
      <w:r w:rsidR="00E427B6">
        <w:t xml:space="preserve">neste trabalho </w:t>
      </w:r>
      <w:r w:rsidR="000F16EB">
        <w:t>trouxe</w:t>
      </w:r>
      <w:r w:rsidR="004A1625">
        <w:t xml:space="preserve"> a </w:t>
      </w:r>
      <w:r w:rsidR="007D280F">
        <w:t>indispensabilidade</w:t>
      </w:r>
      <w:r w:rsidR="00DA2FA3">
        <w:t xml:space="preserve"> de se pensar no receptor da mensagem</w:t>
      </w:r>
      <w:r w:rsidR="00380048">
        <w:t xml:space="preserve"> </w:t>
      </w:r>
      <w:r w:rsidR="00DA5679">
        <w:t>pa</w:t>
      </w:r>
      <w:r w:rsidR="00FC038F">
        <w:t xml:space="preserve">ra a avaliação da </w:t>
      </w:r>
      <w:r w:rsidR="00C22AE3">
        <w:t xml:space="preserve">inteligibilidade do conteúdo, </w:t>
      </w:r>
      <w:r w:rsidR="00985A3E">
        <w:t xml:space="preserve">sustentáculo </w:t>
      </w:r>
      <w:r w:rsidR="00E261F1">
        <w:t>da bibliografia</w:t>
      </w:r>
      <w:r w:rsidR="00CC2167">
        <w:t xml:space="preserve"> apresentad</w:t>
      </w:r>
      <w:r w:rsidR="00E261F1">
        <w:t>a sobre transparência.</w:t>
      </w:r>
    </w:p>
    <w:p w14:paraId="6D9646B5" w14:textId="2E40A9C5" w:rsidR="00A7309D" w:rsidRDefault="00245258" w:rsidP="00113133">
      <w:r>
        <w:t>Tendo em vist</w:t>
      </w:r>
      <w:r w:rsidR="00193EDF">
        <w:t>a</w:t>
      </w:r>
      <w:r>
        <w:t xml:space="preserve"> esse cenário</w:t>
      </w:r>
      <w:r w:rsidR="001A4583">
        <w:t xml:space="preserve"> e em compatibilidade com os objetivos deste estudo, </w:t>
      </w:r>
      <w:r w:rsidR="00CC08BC">
        <w:t xml:space="preserve">quais sejam, </w:t>
      </w:r>
      <w:r w:rsidR="00DE0FA9">
        <w:t xml:space="preserve">a reflexão </w:t>
      </w:r>
      <w:r w:rsidR="00CF10F9">
        <w:t>acerc</w:t>
      </w:r>
      <w:r w:rsidR="00E80F31">
        <w:t>a da uniformidade entre os números e as nomenclaturas</w:t>
      </w:r>
      <w:r w:rsidR="003707AF">
        <w:t xml:space="preserve"> empregadas na divulgação </w:t>
      </w:r>
      <w:r w:rsidR="00121C74">
        <w:t xml:space="preserve">dos relatórios e o possível impacto </w:t>
      </w:r>
      <w:r w:rsidR="00E43CEE">
        <w:t xml:space="preserve">disso </w:t>
      </w:r>
      <w:r w:rsidR="00C33879">
        <w:t xml:space="preserve">na transparência da exposição conjunta desses documentos, </w:t>
      </w:r>
      <w:r w:rsidR="00DC455E">
        <w:t xml:space="preserve">percebe-se </w:t>
      </w:r>
      <w:r w:rsidR="000F1AF5">
        <w:t xml:space="preserve">que há uma complexidade </w:t>
      </w:r>
      <w:r w:rsidR="005B20B5">
        <w:t xml:space="preserve">e, </w:t>
      </w:r>
      <w:r w:rsidR="0057688E">
        <w:t>por</w:t>
      </w:r>
      <w:r w:rsidR="005B20B5">
        <w:t xml:space="preserve"> vezes, uma certa confusão entre </w:t>
      </w:r>
      <w:r w:rsidR="00615D5A">
        <w:t xml:space="preserve">os termos utilizados para um mesmo tema. </w:t>
      </w:r>
      <w:r w:rsidR="00353A64">
        <w:t>Esse panoram</w:t>
      </w:r>
      <w:r w:rsidR="004832CE">
        <w:t xml:space="preserve">a </w:t>
      </w:r>
      <w:r w:rsidR="007E1CEF">
        <w:t xml:space="preserve">sugere </w:t>
      </w:r>
      <w:r w:rsidR="00355037">
        <w:t xml:space="preserve">um esforço </w:t>
      </w:r>
      <w:r w:rsidR="003766EE">
        <w:t xml:space="preserve">maior por quem recebe </w:t>
      </w:r>
      <w:r w:rsidR="00355037">
        <w:t xml:space="preserve">a mensagem </w:t>
      </w:r>
      <w:r w:rsidR="00DF1C0C">
        <w:t>no intuito de entender a informação publicada</w:t>
      </w:r>
      <w:r w:rsidR="003755BF">
        <w:t xml:space="preserve">, </w:t>
      </w:r>
      <w:r w:rsidR="00CA03B1">
        <w:t xml:space="preserve">afetando </w:t>
      </w:r>
      <w:r w:rsidR="00C044A0">
        <w:t>a transparência dos documentos.</w:t>
      </w:r>
    </w:p>
    <w:p w14:paraId="6E3EF815" w14:textId="262FDCFC" w:rsidR="005025D4" w:rsidRDefault="00E75D3E" w:rsidP="00113133">
      <w:r>
        <w:t>A</w:t>
      </w:r>
      <w:r w:rsidR="009B40CB">
        <w:t>o se analisar a</w:t>
      </w:r>
      <w:r>
        <w:t xml:space="preserve"> despesa com pessoal</w:t>
      </w:r>
      <w:r w:rsidR="0096612B">
        <w:t xml:space="preserve"> da União</w:t>
      </w:r>
      <w:r>
        <w:t>,</w:t>
      </w:r>
      <w:r w:rsidR="00103537">
        <w:t xml:space="preserve"> </w:t>
      </w:r>
      <w:r w:rsidR="00342677">
        <w:t xml:space="preserve">por exemplo, </w:t>
      </w:r>
      <w:r w:rsidR="005329F3">
        <w:t>os termos “Pessoal e Encargos Sociais” e “Remuneração de Empregados”</w:t>
      </w:r>
      <w:r w:rsidR="00243405">
        <w:t xml:space="preserve"> </w:t>
      </w:r>
      <w:r w:rsidR="00D71271">
        <w:t xml:space="preserve">trazem uma diferença em sua composição que </w:t>
      </w:r>
      <w:r w:rsidR="00F55C23">
        <w:t>se sobrepõe à</w:t>
      </w:r>
      <w:r w:rsidR="00D71271">
        <w:t xml:space="preserve"> </w:t>
      </w:r>
      <w:r w:rsidR="00F55C23">
        <w:t xml:space="preserve">distinção </w:t>
      </w:r>
      <w:r w:rsidR="008C7841">
        <w:t xml:space="preserve">encontrada </w:t>
      </w:r>
      <w:r w:rsidR="00F55C23">
        <w:t xml:space="preserve">na </w:t>
      </w:r>
      <w:r w:rsidR="00D71271">
        <w:t xml:space="preserve">nomenclatura. </w:t>
      </w:r>
      <w:r w:rsidR="00B15B4E">
        <w:t>O fato d</w:t>
      </w:r>
      <w:r w:rsidR="00223BC7">
        <w:t>aquele</w:t>
      </w:r>
      <w:r w:rsidR="00B15B4E">
        <w:t xml:space="preserve"> ter</w:t>
      </w:r>
      <w:r w:rsidR="00223BC7">
        <w:t>mo incluir os valores pagos com o RPPS</w:t>
      </w:r>
      <w:r w:rsidR="00D06789">
        <w:t xml:space="preserve"> impacta </w:t>
      </w:r>
      <w:r w:rsidR="005025D4">
        <w:t xml:space="preserve">diretamente na composição – e compreensão – </w:t>
      </w:r>
      <w:r w:rsidR="00E54D02">
        <w:t>do termo “Benefícios Previdenciários”</w:t>
      </w:r>
      <w:r w:rsidR="000951BD">
        <w:t xml:space="preserve">, </w:t>
      </w:r>
      <w:r w:rsidR="000620FB">
        <w:t>que trata do gasto com previdência no</w:t>
      </w:r>
      <w:r w:rsidR="000951BD">
        <w:t xml:space="preserve"> mesmo relatório (no caso, o RTN)</w:t>
      </w:r>
      <w:r w:rsidR="00237056">
        <w:t xml:space="preserve">, já que se deve aduzir que </w:t>
      </w:r>
      <w:r w:rsidR="00B64383">
        <w:t>neste</w:t>
      </w:r>
      <w:r w:rsidR="00237056">
        <w:t xml:space="preserve"> não se inclui o RPPS, apenas o RGPS. </w:t>
      </w:r>
      <w:r w:rsidR="00FD642E">
        <w:t xml:space="preserve">Com abordagem diferente, </w:t>
      </w:r>
      <w:r w:rsidR="007041FD">
        <w:t xml:space="preserve">“Remuneração de Empregados” contempla apenas </w:t>
      </w:r>
      <w:r w:rsidR="00077F41">
        <w:t xml:space="preserve">o dispêndio com o pessoal ativo, segregando </w:t>
      </w:r>
      <w:r w:rsidR="00327108">
        <w:t xml:space="preserve">os valores de RPPS e </w:t>
      </w:r>
      <w:r w:rsidR="00DC2D42">
        <w:t xml:space="preserve">de </w:t>
      </w:r>
      <w:r w:rsidR="00327108">
        <w:t xml:space="preserve">RGPS </w:t>
      </w:r>
      <w:r w:rsidR="00DC2D42">
        <w:t xml:space="preserve">para </w:t>
      </w:r>
      <w:r w:rsidR="00803A74">
        <w:t xml:space="preserve">a denominação </w:t>
      </w:r>
      <w:r w:rsidR="00DC2D42">
        <w:t>“Benefícios Sociais”</w:t>
      </w:r>
      <w:r w:rsidR="00325369">
        <w:t xml:space="preserve">, cuja função é mostrar os números previdenciários nas Estatísticas Fiscais Trimestrais. </w:t>
      </w:r>
    </w:p>
    <w:p w14:paraId="153D7DC6" w14:textId="6861DAFF" w:rsidR="00DA5334" w:rsidRDefault="003735EF" w:rsidP="00113133">
      <w:r>
        <w:lastRenderedPageBreak/>
        <w:t xml:space="preserve">Por mais que </w:t>
      </w:r>
      <w:r w:rsidR="009068E3">
        <w:t>o fator RGPS</w:t>
      </w:r>
      <w:r w:rsidR="00B270FF">
        <w:t xml:space="preserve">, por ser competência </w:t>
      </w:r>
      <w:r w:rsidR="00CC6CFD">
        <w:t>privativa da União,</w:t>
      </w:r>
      <w:r w:rsidR="009068E3">
        <w:t xml:space="preserve"> </w:t>
      </w:r>
      <w:r w:rsidR="00CC6CFD">
        <w:t>não afete</w:t>
      </w:r>
      <w:r w:rsidR="009C3A49">
        <w:t xml:space="preserve"> </w:t>
      </w:r>
      <w:r w:rsidR="00C14478">
        <w:t xml:space="preserve">dados de estados, do Distrito Federal e dos municípios, </w:t>
      </w:r>
      <w:r w:rsidR="00D16D73">
        <w:t xml:space="preserve">a compreensão </w:t>
      </w:r>
      <w:r w:rsidR="00155A60">
        <w:t xml:space="preserve">das informações de pessoal e previdência dessas esferas também requer </w:t>
      </w:r>
      <w:r w:rsidR="00F974D9">
        <w:t xml:space="preserve">conhecimentos além dos </w:t>
      </w:r>
      <w:r w:rsidR="0073299E">
        <w:t xml:space="preserve">apresentados para o âmbito federal. </w:t>
      </w:r>
      <w:r w:rsidR="003F221A">
        <w:t xml:space="preserve">O Boletim dos Entes Subnacionais </w:t>
      </w:r>
      <w:r w:rsidR="00140D86">
        <w:t xml:space="preserve">apresenta o gasto com pessoal dos estados </w:t>
      </w:r>
      <w:r w:rsidR="009753A0">
        <w:t xml:space="preserve">e </w:t>
      </w:r>
      <w:r w:rsidR="007E762D">
        <w:t xml:space="preserve">do </w:t>
      </w:r>
      <w:r w:rsidR="009753A0">
        <w:t xml:space="preserve">DF </w:t>
      </w:r>
      <w:r w:rsidR="00140D86">
        <w:t xml:space="preserve">pelo conceito da LRF, </w:t>
      </w:r>
      <w:r w:rsidR="000D0AF4">
        <w:t xml:space="preserve">o que se configura em uma equação </w:t>
      </w:r>
      <w:r w:rsidR="00FA6C57">
        <w:t>repleta</w:t>
      </w:r>
      <w:r w:rsidR="009B5EFC">
        <w:t xml:space="preserve"> de componentes de adição </w:t>
      </w:r>
      <w:r w:rsidR="00BF7AF1">
        <w:t>(</w:t>
      </w:r>
      <w:r w:rsidR="00607F8B">
        <w:t xml:space="preserve">dentre eles o </w:t>
      </w:r>
      <w:r w:rsidR="00BF7AF1">
        <w:t>pessoal ativo, pessoal inativo</w:t>
      </w:r>
      <w:r w:rsidR="00607F8B">
        <w:t xml:space="preserve"> e pensionistas) </w:t>
      </w:r>
      <w:r w:rsidR="009B5EFC">
        <w:t>e subtração</w:t>
      </w:r>
      <w:r w:rsidR="000A4E71">
        <w:t xml:space="preserve"> (como, por exemplo</w:t>
      </w:r>
      <w:r w:rsidR="009B5EFC">
        <w:t>,</w:t>
      </w:r>
      <w:r w:rsidR="000A4E71">
        <w:t xml:space="preserve"> </w:t>
      </w:r>
      <w:r w:rsidR="00906181">
        <w:t xml:space="preserve">o gasto com inativos e pensionistas financiados por recursos </w:t>
      </w:r>
      <w:r w:rsidR="00673D1A">
        <w:t>vinculados</w:t>
      </w:r>
      <w:r w:rsidR="003C385C">
        <w:t xml:space="preserve"> </w:t>
      </w:r>
      <w:r w:rsidR="00673D1A">
        <w:t xml:space="preserve">a </w:t>
      </w:r>
      <w:r w:rsidR="003C385C">
        <w:t>essa finalidade)</w:t>
      </w:r>
      <w:r w:rsidR="00F86B6F">
        <w:t xml:space="preserve">, resultando em um número </w:t>
      </w:r>
      <w:r w:rsidR="00D55E51">
        <w:t>difícil de comparar com a rubrica “Remuneração de Empregados”</w:t>
      </w:r>
      <w:r w:rsidR="00955402">
        <w:t xml:space="preserve">, cuja composição </w:t>
      </w:r>
      <w:r w:rsidR="002E4133">
        <w:t xml:space="preserve">segue </w:t>
      </w:r>
      <w:r w:rsidR="00595434">
        <w:t>o padrão</w:t>
      </w:r>
      <w:r w:rsidR="002E4133">
        <w:t xml:space="preserve"> do </w:t>
      </w:r>
      <w:r w:rsidR="004055E6">
        <w:t xml:space="preserve">valor </w:t>
      </w:r>
      <w:r w:rsidR="002E4133">
        <w:t>apresentad</w:t>
      </w:r>
      <w:r w:rsidR="004055E6">
        <w:t>o para a esfera federal.</w:t>
      </w:r>
      <w:r w:rsidR="00595434">
        <w:t xml:space="preserve"> </w:t>
      </w:r>
      <w:r w:rsidR="00E438FC">
        <w:t xml:space="preserve">A necessidade de </w:t>
      </w:r>
      <w:r w:rsidR="00573C78">
        <w:t xml:space="preserve">mais </w:t>
      </w:r>
      <w:r w:rsidR="000A21AC">
        <w:t xml:space="preserve">discernimento </w:t>
      </w:r>
      <w:r w:rsidR="003245C6">
        <w:t xml:space="preserve">se </w:t>
      </w:r>
      <w:r w:rsidR="00573C78">
        <w:t xml:space="preserve">mostra </w:t>
      </w:r>
      <w:r w:rsidR="00562A41">
        <w:t>também no segmento previdenciário</w:t>
      </w:r>
      <w:r w:rsidR="00831DCA">
        <w:t xml:space="preserve">, no momento em que aparece a expressão “Custo Previdenciário”, </w:t>
      </w:r>
      <w:r w:rsidR="004A5F59">
        <w:t xml:space="preserve">na qual o número divulgado se refere somente </w:t>
      </w:r>
      <w:r w:rsidR="00640119">
        <w:t xml:space="preserve">ao saldo negativo da conta </w:t>
      </w:r>
      <w:r w:rsidR="00EF116E">
        <w:t>anual dos inativos e pensionistas</w:t>
      </w:r>
      <w:r w:rsidR="00C26A0E">
        <w:t xml:space="preserve">, </w:t>
      </w:r>
      <w:r w:rsidR="0021177B">
        <w:t>bem diferente do que ocorre nas Estatísticas Fiscais Trimestrais</w:t>
      </w:r>
      <w:r w:rsidR="009461E9">
        <w:t xml:space="preserve">. </w:t>
      </w:r>
      <w:r w:rsidR="009753A0">
        <w:t xml:space="preserve"> </w:t>
      </w:r>
    </w:p>
    <w:p w14:paraId="3BB48CD4" w14:textId="6E0D14E5" w:rsidR="00E6209C" w:rsidRDefault="0050334F" w:rsidP="006F132F">
      <w:r>
        <w:t xml:space="preserve">A </w:t>
      </w:r>
      <w:r w:rsidR="0037729A">
        <w:t xml:space="preserve">variação entre </w:t>
      </w:r>
      <w:r w:rsidR="00845FC9">
        <w:t xml:space="preserve">as informações apresentadas, </w:t>
      </w:r>
      <w:r w:rsidR="00AC72FD">
        <w:t xml:space="preserve">sem </w:t>
      </w:r>
      <w:r w:rsidR="00C86E3A">
        <w:t>uma uniformidade de conceitos</w:t>
      </w:r>
      <w:r w:rsidR="00AC72FD">
        <w:t xml:space="preserve"> e arraigada </w:t>
      </w:r>
      <w:r w:rsidR="00C86E3A">
        <w:t>de hetero</w:t>
      </w:r>
      <w:r w:rsidR="007D1CF2">
        <w:t xml:space="preserve">geneidade para tratar de um mesmo assunto, </w:t>
      </w:r>
      <w:r w:rsidR="00845FC9">
        <w:t xml:space="preserve">portanto, </w:t>
      </w:r>
      <w:r w:rsidR="00430EBA">
        <w:t>confronta</w:t>
      </w:r>
      <w:r w:rsidR="00E20A91">
        <w:t xml:space="preserve"> </w:t>
      </w:r>
      <w:r w:rsidR="004B7DAE">
        <w:t>proposições</w:t>
      </w:r>
      <w:r w:rsidR="00A20F2E">
        <w:t xml:space="preserve"> </w:t>
      </w:r>
      <w:r w:rsidR="00C66E1A">
        <w:t xml:space="preserve">discutidas na literatura </w:t>
      </w:r>
      <w:r w:rsidR="008D27ED">
        <w:t xml:space="preserve">revisada neste estudo. Não se pode afirmar que </w:t>
      </w:r>
      <w:r w:rsidR="007418FB">
        <w:t>a mensagem transmitida pelos relatórios atinge o destinatário de forma</w:t>
      </w:r>
      <w:r w:rsidR="00206A5F">
        <w:t xml:space="preserve"> clara,</w:t>
      </w:r>
      <w:r w:rsidR="007418FB">
        <w:t xml:space="preserve"> </w:t>
      </w:r>
      <w:r w:rsidR="00DB58A2">
        <w:t>simples</w:t>
      </w:r>
      <w:r w:rsidR="00206A5F">
        <w:t xml:space="preserve"> e </w:t>
      </w:r>
      <w:r w:rsidR="00CD7FA7">
        <w:t>sem embaraço</w:t>
      </w:r>
      <w:r w:rsidR="00A5112A">
        <w:t xml:space="preserve">, conforme pregam </w:t>
      </w:r>
      <w:proofErr w:type="spellStart"/>
      <w:r w:rsidR="00A5112A">
        <w:t>Birkinshaw</w:t>
      </w:r>
      <w:proofErr w:type="spellEnd"/>
      <w:r w:rsidR="00A5112A">
        <w:t xml:space="preserve"> (2006)</w:t>
      </w:r>
      <w:r w:rsidR="00EA54C6">
        <w:t xml:space="preserve">, Larsson (1998) e </w:t>
      </w:r>
      <w:r w:rsidR="00804CAA">
        <w:t>Bloch</w:t>
      </w:r>
      <w:r w:rsidR="00730F76">
        <w:t xml:space="preserve"> (2013). </w:t>
      </w:r>
      <w:r w:rsidR="003148E9">
        <w:t xml:space="preserve">E essa complexidade </w:t>
      </w:r>
      <w:r w:rsidR="0035367B">
        <w:t xml:space="preserve">na apresentação </w:t>
      </w:r>
      <w:r w:rsidR="00715290">
        <w:t xml:space="preserve">conjunta </w:t>
      </w:r>
      <w:r w:rsidR="0035367B">
        <w:t xml:space="preserve">dos dados demanda </w:t>
      </w:r>
      <w:r w:rsidR="00237B2C">
        <w:t xml:space="preserve">um nível de conhecimento compatível </w:t>
      </w:r>
      <w:r w:rsidR="00715290">
        <w:t xml:space="preserve">com especialistas no assunto, o que se contrapõe </w:t>
      </w:r>
      <w:r w:rsidR="008D5791">
        <w:t>à premissa</w:t>
      </w:r>
      <w:r w:rsidR="00C10F89">
        <w:t xml:space="preserve"> de ser transparente pelos gestores públicos, os quais deveriam </w:t>
      </w:r>
      <w:r w:rsidR="00B37CEA">
        <w:t xml:space="preserve">garantir o acesso e a compreensão do público </w:t>
      </w:r>
      <w:r w:rsidR="0095440B">
        <w:t xml:space="preserve">não especialista, </w:t>
      </w:r>
      <w:r w:rsidR="00D515BA">
        <w:t xml:space="preserve">visando o fortalecimento </w:t>
      </w:r>
      <w:r w:rsidR="00A7488D">
        <w:t>do acompanhamento, da avaliação e do auxílio na</w:t>
      </w:r>
      <w:r w:rsidR="00A15D28">
        <w:t xml:space="preserve"> gestão das políticas públicas (A</w:t>
      </w:r>
      <w:r w:rsidR="00A37DF2">
        <w:t>morim</w:t>
      </w:r>
      <w:r w:rsidR="00A15D28">
        <w:t>; A</w:t>
      </w:r>
      <w:r w:rsidR="00A37DF2">
        <w:t>lmada</w:t>
      </w:r>
      <w:r w:rsidR="00A15D28">
        <w:t>, 2014).</w:t>
      </w:r>
    </w:p>
    <w:p w14:paraId="707CB86D" w14:textId="21074DB9" w:rsidR="00A15D28" w:rsidRDefault="00CD4C87" w:rsidP="006F132F">
      <w:r>
        <w:t>A</w:t>
      </w:r>
      <w:r w:rsidR="00E3707F">
        <w:t xml:space="preserve"> diferença entre </w:t>
      </w:r>
      <w:r w:rsidR="00397AA7">
        <w:t>a composição das rubricas</w:t>
      </w:r>
      <w:r>
        <w:t xml:space="preserve"> </w:t>
      </w:r>
      <w:r w:rsidR="00602D6E">
        <w:t xml:space="preserve">se reduz quando se observa </w:t>
      </w:r>
      <w:r w:rsidR="00397AA7">
        <w:t>a despesa com pessoal dos municípios</w:t>
      </w:r>
      <w:r w:rsidR="00F70BCE">
        <w:t xml:space="preserve">, no qual </w:t>
      </w:r>
      <w:r w:rsidR="00034320">
        <w:t>os termos “Pessoal Ativo” e “Remuneração de Empregados” se concentra</w:t>
      </w:r>
      <w:r w:rsidR="009912EF">
        <w:t>m</w:t>
      </w:r>
      <w:r w:rsidR="00034320">
        <w:t xml:space="preserve"> somente nos gastos </w:t>
      </w:r>
      <w:r w:rsidR="00CA21C9">
        <w:t>com os servidores em atividade</w:t>
      </w:r>
      <w:r w:rsidR="00CC7036">
        <w:t>, e que a desigualdade entre os valores</w:t>
      </w:r>
      <w:r w:rsidR="00D15BCB">
        <w:t xml:space="preserve"> –</w:t>
      </w:r>
      <w:r w:rsidR="00CC7036">
        <w:t xml:space="preserve"> R$ </w:t>
      </w:r>
      <w:r w:rsidR="00B726C2">
        <w:t>178 e R$ 279 bilhões, respectivamente</w:t>
      </w:r>
      <w:r w:rsidR="00D15BCB">
        <w:t xml:space="preserve"> –</w:t>
      </w:r>
      <w:r w:rsidR="00B726C2">
        <w:t>,</w:t>
      </w:r>
      <w:r w:rsidR="00D15BCB">
        <w:t xml:space="preserve"> se explica pelo momento em qu</w:t>
      </w:r>
      <w:r w:rsidR="00BE0652">
        <w:t xml:space="preserve">e o registro do valor se realiza (empenho </w:t>
      </w:r>
      <w:r w:rsidR="00971141">
        <w:t xml:space="preserve">e competência, nessa ordem). A mesma </w:t>
      </w:r>
      <w:r w:rsidR="00E2713F">
        <w:t xml:space="preserve">situação acontece no que tange às informações sobre o investimento, em que a mudança dos números se deve </w:t>
      </w:r>
      <w:r w:rsidR="000837D1">
        <w:t>às diversas fases em que se registra a despesa. No entanto, vale ressaltar</w:t>
      </w:r>
      <w:r w:rsidR="00F0747B">
        <w:t xml:space="preserve"> </w:t>
      </w:r>
      <w:r w:rsidR="005D1C3C">
        <w:t>uma observação em relação ao</w:t>
      </w:r>
      <w:r w:rsidR="00F0747B">
        <w:t>s</w:t>
      </w:r>
      <w:r w:rsidR="005D1C3C">
        <w:t xml:space="preserve"> termo</w:t>
      </w:r>
      <w:r w:rsidR="00F0747B">
        <w:t>s</w:t>
      </w:r>
      <w:r w:rsidR="005D1C3C">
        <w:t xml:space="preserve"> utilizado</w:t>
      </w:r>
      <w:r w:rsidR="000A655A">
        <w:t>s</w:t>
      </w:r>
      <w:r w:rsidR="005D1C3C">
        <w:t xml:space="preserve"> pelas Estatísticas Fiscais Trimestrais</w:t>
      </w:r>
      <w:r w:rsidR="00F0747B">
        <w:t xml:space="preserve">: </w:t>
      </w:r>
      <w:r w:rsidR="008C7594">
        <w:t xml:space="preserve">o investimento bruto, ou seja, sem deduções, </w:t>
      </w:r>
      <w:r w:rsidR="001D7AED">
        <w:t>recebe a nomenclatura de “Aquisição de ativos não financeiros”</w:t>
      </w:r>
      <w:r w:rsidR="00F0030B">
        <w:t>, enquanto os outros relatórios o tratam como “Investimento” ou “Investimento Público”</w:t>
      </w:r>
      <w:r w:rsidR="0052164D">
        <w:t xml:space="preserve">. </w:t>
      </w:r>
      <w:r w:rsidR="00655A91">
        <w:t xml:space="preserve">E essa questão </w:t>
      </w:r>
      <w:r w:rsidR="00655A91">
        <w:lastRenderedPageBreak/>
        <w:t xml:space="preserve">pode causar alguma </w:t>
      </w:r>
      <w:r w:rsidR="000563EB">
        <w:t>confusão</w:t>
      </w:r>
      <w:r w:rsidR="00655A91">
        <w:t xml:space="preserve"> semântica quando se </w:t>
      </w:r>
      <w:r w:rsidR="00023845">
        <w:t xml:space="preserve">observa o termo “Investimento líquido” das Estatísticas Fiscais Trimestrais, </w:t>
      </w:r>
      <w:r w:rsidR="000563EB">
        <w:t>que ser</w:t>
      </w:r>
      <w:r w:rsidR="0097342C">
        <w:t>ia o valor da “Aquisição de ativos não financeiros”</w:t>
      </w:r>
      <w:r w:rsidR="006320D6">
        <w:t xml:space="preserve"> deduzido da venda </w:t>
      </w:r>
      <w:r w:rsidR="0086582A">
        <w:t>e da depreciação de ativos.</w:t>
      </w:r>
    </w:p>
    <w:p w14:paraId="2BE8655F" w14:textId="5A2B0A30" w:rsidR="0086582A" w:rsidRDefault="00ED45CF" w:rsidP="006F132F">
      <w:r>
        <w:t>A discussão dos resultados</w:t>
      </w:r>
      <w:r w:rsidR="00B239A3">
        <w:t>,</w:t>
      </w:r>
      <w:r>
        <w:t xml:space="preserve"> </w:t>
      </w:r>
      <w:r w:rsidR="007D4382">
        <w:t xml:space="preserve">em análise com os preceitos estabelecidos pela revisão bibliográfica, portanto, </w:t>
      </w:r>
      <w:r w:rsidR="00110F0D">
        <w:t xml:space="preserve">fundamenta </w:t>
      </w:r>
      <w:r w:rsidR="006C2186">
        <w:t xml:space="preserve">a necessidade de se envidar esforços </w:t>
      </w:r>
      <w:r w:rsidR="00F706E5">
        <w:t>na busca de uma comunicação mais homogênea</w:t>
      </w:r>
      <w:r w:rsidR="001453FD">
        <w:t xml:space="preserve"> das informações de pessoal, de previdência e de investimento</w:t>
      </w:r>
      <w:r w:rsidR="00C0737B">
        <w:t xml:space="preserve">, </w:t>
      </w:r>
      <w:r w:rsidR="00695856">
        <w:t xml:space="preserve">para que a Secretaria do Tesouro Nacional possa cumprir </w:t>
      </w:r>
      <w:r w:rsidR="00683605">
        <w:t xml:space="preserve">a </w:t>
      </w:r>
      <w:r w:rsidR="00695856">
        <w:t xml:space="preserve">missão de ser um órgão transparente, que se </w:t>
      </w:r>
      <w:r w:rsidR="0084201D">
        <w:t>interessa pela inteligibilidade da mensagem transmitida à sociedade, e não apenas uma instituição aberta, que expõe seus dados de forma bruta ao público em geral.</w:t>
      </w:r>
    </w:p>
    <w:p w14:paraId="3AF4C9B9" w14:textId="77777777" w:rsidR="00E6209C" w:rsidRDefault="00E6209C" w:rsidP="00B46FAA">
      <w:pPr>
        <w:pStyle w:val="Ttulo1"/>
      </w:pPr>
    </w:p>
    <w:p w14:paraId="74EA9BEC" w14:textId="77777777" w:rsidR="00E6209C" w:rsidRDefault="00E6209C" w:rsidP="00B46FAA">
      <w:pPr>
        <w:pStyle w:val="Ttulo1"/>
      </w:pPr>
    </w:p>
    <w:p w14:paraId="4C1CC86C" w14:textId="77777777" w:rsidR="00E6209C" w:rsidRDefault="00E6209C" w:rsidP="00B46FAA">
      <w:pPr>
        <w:pStyle w:val="Ttulo1"/>
      </w:pPr>
    </w:p>
    <w:p w14:paraId="013DF488" w14:textId="77777777" w:rsidR="00E6209C" w:rsidRDefault="00E6209C" w:rsidP="00B46FAA">
      <w:pPr>
        <w:pStyle w:val="Ttulo1"/>
      </w:pPr>
    </w:p>
    <w:p w14:paraId="213E6FED" w14:textId="77777777" w:rsidR="00E6209C" w:rsidRDefault="00E6209C" w:rsidP="00B46FAA">
      <w:pPr>
        <w:pStyle w:val="Ttulo1"/>
      </w:pPr>
    </w:p>
    <w:p w14:paraId="27197774" w14:textId="77777777" w:rsidR="00E6209C" w:rsidRDefault="00E6209C" w:rsidP="00B46FAA">
      <w:pPr>
        <w:pStyle w:val="Ttulo1"/>
      </w:pPr>
    </w:p>
    <w:p w14:paraId="3AB24DE4" w14:textId="77777777" w:rsidR="00E6209C" w:rsidRDefault="00E6209C" w:rsidP="00B46FAA">
      <w:pPr>
        <w:pStyle w:val="Ttulo1"/>
      </w:pPr>
    </w:p>
    <w:p w14:paraId="20CA24E2" w14:textId="77777777" w:rsidR="00E6209C" w:rsidRDefault="00E6209C" w:rsidP="00B46FAA">
      <w:pPr>
        <w:pStyle w:val="Ttulo1"/>
      </w:pPr>
    </w:p>
    <w:p w14:paraId="3DFA5820" w14:textId="77777777" w:rsidR="00E6209C" w:rsidRDefault="00E6209C" w:rsidP="00B46FAA">
      <w:pPr>
        <w:pStyle w:val="Ttulo1"/>
      </w:pPr>
    </w:p>
    <w:p w14:paraId="325BFD9D" w14:textId="77777777" w:rsidR="00E6209C" w:rsidRDefault="00E6209C" w:rsidP="00B46FAA">
      <w:pPr>
        <w:pStyle w:val="Ttulo1"/>
      </w:pPr>
    </w:p>
    <w:p w14:paraId="1110116F" w14:textId="77777777" w:rsidR="00E6209C" w:rsidRDefault="00E6209C" w:rsidP="00B46FAA">
      <w:pPr>
        <w:pStyle w:val="Ttulo1"/>
      </w:pPr>
    </w:p>
    <w:p w14:paraId="42B26C17" w14:textId="77777777" w:rsidR="00E6209C" w:rsidRDefault="00E6209C" w:rsidP="00B46FAA">
      <w:pPr>
        <w:pStyle w:val="Ttulo1"/>
      </w:pPr>
    </w:p>
    <w:p w14:paraId="07263753" w14:textId="77777777" w:rsidR="00E6209C" w:rsidRDefault="00E6209C" w:rsidP="00B46FAA">
      <w:pPr>
        <w:pStyle w:val="Ttulo1"/>
      </w:pPr>
    </w:p>
    <w:p w14:paraId="088B3564" w14:textId="77777777" w:rsidR="00E6209C" w:rsidRDefault="00E6209C" w:rsidP="00B46FAA">
      <w:pPr>
        <w:pStyle w:val="Ttulo1"/>
      </w:pPr>
    </w:p>
    <w:p w14:paraId="1828CEEC" w14:textId="77777777" w:rsidR="00E6209C" w:rsidRDefault="00E6209C" w:rsidP="00B46FAA">
      <w:pPr>
        <w:pStyle w:val="Ttulo1"/>
      </w:pPr>
    </w:p>
    <w:p w14:paraId="6A5E7B33" w14:textId="77777777" w:rsidR="00E6209C" w:rsidRDefault="00E6209C" w:rsidP="00B46FAA">
      <w:pPr>
        <w:pStyle w:val="Ttulo1"/>
      </w:pPr>
    </w:p>
    <w:p w14:paraId="0718B6FF" w14:textId="77777777" w:rsidR="00E6209C" w:rsidRDefault="00E6209C" w:rsidP="00B46FAA">
      <w:pPr>
        <w:pStyle w:val="Ttulo1"/>
      </w:pPr>
    </w:p>
    <w:p w14:paraId="250E5DD9" w14:textId="77777777" w:rsidR="00E6209C" w:rsidRDefault="00E6209C" w:rsidP="00B46FAA">
      <w:pPr>
        <w:pStyle w:val="Ttulo1"/>
      </w:pPr>
    </w:p>
    <w:p w14:paraId="4A8BD9EB" w14:textId="77777777" w:rsidR="00E6209C" w:rsidRDefault="00E6209C" w:rsidP="00B46FAA">
      <w:pPr>
        <w:pStyle w:val="Ttulo1"/>
      </w:pPr>
    </w:p>
    <w:p w14:paraId="4B783E46" w14:textId="77777777" w:rsidR="00E6209C" w:rsidRDefault="00E6209C" w:rsidP="00B46FAA">
      <w:pPr>
        <w:pStyle w:val="Ttulo1"/>
      </w:pPr>
    </w:p>
    <w:p w14:paraId="51B60ECD" w14:textId="78CC3349" w:rsidR="00E6209C" w:rsidRDefault="00E6209C" w:rsidP="00B46FAA">
      <w:pPr>
        <w:pStyle w:val="Ttulo1"/>
      </w:pPr>
    </w:p>
    <w:p w14:paraId="4CD87027" w14:textId="77777777" w:rsidR="0084201D" w:rsidRPr="0084201D" w:rsidRDefault="0084201D" w:rsidP="0084201D"/>
    <w:p w14:paraId="7247A919" w14:textId="77777777" w:rsidR="00E6209C" w:rsidRDefault="00E6209C" w:rsidP="00B46FAA">
      <w:pPr>
        <w:pStyle w:val="Ttulo1"/>
      </w:pPr>
    </w:p>
    <w:p w14:paraId="3839D43E" w14:textId="77777777" w:rsidR="00E6209C" w:rsidRDefault="00E6209C" w:rsidP="00B46FAA">
      <w:pPr>
        <w:pStyle w:val="Ttulo1"/>
      </w:pPr>
    </w:p>
    <w:p w14:paraId="29704430" w14:textId="45BDC4C6" w:rsidR="00036521" w:rsidRDefault="003E4750" w:rsidP="00B46FAA">
      <w:pPr>
        <w:pStyle w:val="Ttulo1"/>
      </w:pPr>
      <w:bookmarkStart w:id="82" w:name="_Toc16087714"/>
      <w:r>
        <w:lastRenderedPageBreak/>
        <w:t>6</w:t>
      </w:r>
      <w:r w:rsidR="00B25883">
        <w:t>.</w:t>
      </w:r>
      <w:r w:rsidR="00D74528" w:rsidRPr="003F5B1F">
        <w:t xml:space="preserve"> CONCLUSÃO</w:t>
      </w:r>
      <w:bookmarkEnd w:id="82"/>
    </w:p>
    <w:p w14:paraId="1C32B1E7" w14:textId="77777777" w:rsidR="00FE5FBF" w:rsidRPr="00FE5FBF" w:rsidRDefault="00FE5FBF" w:rsidP="00FE5FBF"/>
    <w:p w14:paraId="6150AB53" w14:textId="7FEA65BE" w:rsidR="0071054C" w:rsidRPr="003F5B1F" w:rsidRDefault="00020557" w:rsidP="000B7B0D">
      <w:r w:rsidRPr="003F5B1F">
        <w:t xml:space="preserve">O presente </w:t>
      </w:r>
      <w:r w:rsidR="005A770B" w:rsidRPr="003F5B1F">
        <w:t xml:space="preserve">trabalho partiu </w:t>
      </w:r>
      <w:r w:rsidR="00310C6A" w:rsidRPr="003F5B1F">
        <w:t xml:space="preserve">de alguns pressupostos </w:t>
      </w:r>
      <w:r w:rsidR="00DC141E" w:rsidRPr="003F5B1F">
        <w:t xml:space="preserve">para </w:t>
      </w:r>
      <w:r w:rsidR="00A259CF" w:rsidRPr="003F5B1F">
        <w:t>realizar uma análise exploratória sobre o gasto com pessoal, com previdência e com investimento extraído</w:t>
      </w:r>
      <w:r w:rsidR="00C95FFC" w:rsidRPr="003F5B1F">
        <w:t xml:space="preserve">s dos documentos Resultado do Tesouro Nacional, Estatísticas Fiscais Trimestrais do Governo Geral e </w:t>
      </w:r>
      <w:r w:rsidR="00A433BF" w:rsidRPr="003F5B1F">
        <w:t>Boletim de Finanças dos Entes Subnacionais</w:t>
      </w:r>
      <w:r w:rsidR="00D76620" w:rsidRPr="003F5B1F">
        <w:t>.</w:t>
      </w:r>
      <w:r w:rsidR="00A52578" w:rsidRPr="003F5B1F">
        <w:t xml:space="preserve"> Primeiramente</w:t>
      </w:r>
      <w:r w:rsidR="00753161" w:rsidRPr="003F5B1F">
        <w:t xml:space="preserve">, </w:t>
      </w:r>
      <w:r w:rsidR="00D97BB1" w:rsidRPr="003F5B1F">
        <w:t xml:space="preserve">para a seleção dos tipos de gastos </w:t>
      </w:r>
      <w:r w:rsidR="00E14315" w:rsidRPr="003F5B1F">
        <w:t xml:space="preserve">a serem estudados, </w:t>
      </w:r>
      <w:r w:rsidR="003E6ADC" w:rsidRPr="003F5B1F">
        <w:t xml:space="preserve">levou-se em consideração </w:t>
      </w:r>
      <w:r w:rsidR="00B3540A" w:rsidRPr="003F5B1F">
        <w:t xml:space="preserve">a </w:t>
      </w:r>
      <w:r w:rsidR="00D7261A" w:rsidRPr="003F5B1F">
        <w:t>relevância</w:t>
      </w:r>
      <w:r w:rsidR="00B3540A" w:rsidRPr="003F5B1F">
        <w:t xml:space="preserve"> dessas rubricas de despesa </w:t>
      </w:r>
      <w:r w:rsidR="001211CC" w:rsidRPr="003F5B1F">
        <w:t>para a análise</w:t>
      </w:r>
      <w:r w:rsidR="00851716" w:rsidRPr="003F5B1F">
        <w:t xml:space="preserve"> do </w:t>
      </w:r>
      <w:r w:rsidR="00491D26" w:rsidRPr="003F5B1F">
        <w:t>cenário</w:t>
      </w:r>
      <w:r w:rsidR="00851716" w:rsidRPr="003F5B1F">
        <w:t xml:space="preserve"> fiscal </w:t>
      </w:r>
      <w:r w:rsidR="002A57A0" w:rsidRPr="003F5B1F">
        <w:t>brasileiro, no qual se constata</w:t>
      </w:r>
      <w:r w:rsidR="00FF35D5" w:rsidRPr="003F5B1F">
        <w:t xml:space="preserve">, desde o final de 2014, recorrentes déficits </w:t>
      </w:r>
      <w:r w:rsidR="005B2BFF" w:rsidRPr="003F5B1F">
        <w:t xml:space="preserve">no resultado </w:t>
      </w:r>
      <w:r w:rsidR="00FF35D5" w:rsidRPr="003F5B1F">
        <w:t>primári</w:t>
      </w:r>
      <w:r w:rsidR="003A7509" w:rsidRPr="003F5B1F">
        <w:t>o.</w:t>
      </w:r>
      <w:r w:rsidR="00626A57" w:rsidRPr="003F5B1F">
        <w:t xml:space="preserve"> </w:t>
      </w:r>
      <w:r w:rsidR="009B1561" w:rsidRPr="003F5B1F">
        <w:t xml:space="preserve">Em </w:t>
      </w:r>
      <w:r w:rsidR="006A708C" w:rsidRPr="003F5B1F">
        <w:t>um momento de restrição</w:t>
      </w:r>
      <w:r w:rsidR="004D276C" w:rsidRPr="003F5B1F">
        <w:t xml:space="preserve"> </w:t>
      </w:r>
      <w:r w:rsidR="00DC08FC" w:rsidRPr="003F5B1F">
        <w:t>fiscal</w:t>
      </w:r>
      <w:r w:rsidR="006D33F4" w:rsidRPr="003F5B1F">
        <w:t xml:space="preserve">, </w:t>
      </w:r>
      <w:r w:rsidR="00503792" w:rsidRPr="003F5B1F">
        <w:t xml:space="preserve">torna-se necessário </w:t>
      </w:r>
      <w:r w:rsidR="009C55D8" w:rsidRPr="003F5B1F">
        <w:t>saber</w:t>
      </w:r>
      <w:r w:rsidR="0044163D" w:rsidRPr="003F5B1F">
        <w:t xml:space="preserve"> o </w:t>
      </w:r>
      <w:r w:rsidR="005C7679" w:rsidRPr="003F5B1F">
        <w:t xml:space="preserve">valor </w:t>
      </w:r>
      <w:r w:rsidR="00FA6BE9" w:rsidRPr="003F5B1F">
        <w:t xml:space="preserve">que as contas públicas suportam </w:t>
      </w:r>
      <w:r w:rsidR="00296BC2" w:rsidRPr="003F5B1F">
        <w:t xml:space="preserve">com a folha de pagamento, tanto </w:t>
      </w:r>
      <w:r w:rsidR="003F6A55" w:rsidRPr="003F5B1F">
        <w:t>no que</w:t>
      </w:r>
      <w:r w:rsidR="001C78D3" w:rsidRPr="003F5B1F">
        <w:t xml:space="preserve"> tange aos</w:t>
      </w:r>
      <w:r w:rsidR="00296BC2" w:rsidRPr="003F5B1F">
        <w:t xml:space="preserve"> ativos quanto </w:t>
      </w:r>
      <w:r w:rsidR="001C78D3" w:rsidRPr="003F5B1F">
        <w:t>aos</w:t>
      </w:r>
      <w:r w:rsidR="00296BC2" w:rsidRPr="003F5B1F">
        <w:t xml:space="preserve"> aposentados e pensionistas, </w:t>
      </w:r>
      <w:r w:rsidR="001C78D3" w:rsidRPr="003F5B1F">
        <w:t xml:space="preserve">e com os investimentos, a fim </w:t>
      </w:r>
      <w:r w:rsidR="0058271D" w:rsidRPr="003F5B1F">
        <w:t xml:space="preserve">de </w:t>
      </w:r>
      <w:r w:rsidR="00D04EE3" w:rsidRPr="003F5B1F">
        <w:t xml:space="preserve">se </w:t>
      </w:r>
      <w:r w:rsidR="0058271D" w:rsidRPr="003F5B1F">
        <w:t xml:space="preserve">avaliar </w:t>
      </w:r>
      <w:r w:rsidR="00DE7A4A" w:rsidRPr="003F5B1F">
        <w:t xml:space="preserve">o planejamento e a </w:t>
      </w:r>
      <w:r w:rsidR="00A4110D" w:rsidRPr="003F5B1F">
        <w:t>implementação de</w:t>
      </w:r>
      <w:r w:rsidR="0058271D" w:rsidRPr="003F5B1F">
        <w:t xml:space="preserve"> </w:t>
      </w:r>
      <w:r w:rsidR="00A4110D" w:rsidRPr="003F5B1F">
        <w:t>políticas públicas.</w:t>
      </w:r>
    </w:p>
    <w:p w14:paraId="54242D34" w14:textId="7EE66265" w:rsidR="00F30769" w:rsidRPr="003F5B1F" w:rsidRDefault="00F30769" w:rsidP="000B7B0D">
      <w:r w:rsidRPr="003F5B1F">
        <w:t xml:space="preserve">Em segundo lugar, </w:t>
      </w:r>
      <w:r w:rsidR="005B32B3" w:rsidRPr="003F5B1F">
        <w:t>observ</w:t>
      </w:r>
      <w:r w:rsidR="00650620" w:rsidRPr="003F5B1F">
        <w:t>ou</w:t>
      </w:r>
      <w:r w:rsidR="005B32B3" w:rsidRPr="003F5B1F">
        <w:t xml:space="preserve">-se que </w:t>
      </w:r>
      <w:r w:rsidR="00C763F7" w:rsidRPr="003F5B1F">
        <w:t xml:space="preserve">a Secretaria do Tesouro Nacional, órgão </w:t>
      </w:r>
      <w:r w:rsidR="000F0629" w:rsidRPr="003F5B1F">
        <w:t>responsável pela tesouraria</w:t>
      </w:r>
      <w:r w:rsidR="00C763F7" w:rsidRPr="003F5B1F">
        <w:t xml:space="preserve"> </w:t>
      </w:r>
      <w:r w:rsidR="00C005FE" w:rsidRPr="003F5B1F">
        <w:t xml:space="preserve">da União, publica documentos </w:t>
      </w:r>
      <w:r w:rsidR="00E55766" w:rsidRPr="003F5B1F">
        <w:t xml:space="preserve">com o intuito </w:t>
      </w:r>
      <w:r w:rsidR="000E50CC" w:rsidRPr="003F5B1F">
        <w:t>de divulgar os números da despesa pública</w:t>
      </w:r>
      <w:r w:rsidR="00D723C2" w:rsidRPr="003F5B1F">
        <w:t xml:space="preserve"> de todas as esferas de governo</w:t>
      </w:r>
      <w:r w:rsidR="00117177" w:rsidRPr="003F5B1F">
        <w:t xml:space="preserve">, </w:t>
      </w:r>
      <w:r w:rsidR="00F2041F" w:rsidRPr="003F5B1F">
        <w:t>zelando, assim, pela transparência fiscal.</w:t>
      </w:r>
      <w:r w:rsidR="00EC400A" w:rsidRPr="003F5B1F">
        <w:t xml:space="preserve"> Dentre esses documentos, destaca-se o Resultado do Tesouro Nacional, as Estatísticas Fiscais Trimestrais do Governo Geral e o Boletim de Finanças dos Entes Subnacionais.</w:t>
      </w:r>
      <w:r w:rsidR="00FE784A" w:rsidRPr="003F5B1F">
        <w:t xml:space="preserve"> </w:t>
      </w:r>
      <w:r w:rsidR="00D7243A" w:rsidRPr="003F5B1F">
        <w:t xml:space="preserve">Essa postura da STN </w:t>
      </w:r>
      <w:r w:rsidR="0022396A" w:rsidRPr="003F5B1F">
        <w:t>se alinha</w:t>
      </w:r>
      <w:r w:rsidR="00EE1D26" w:rsidRPr="003F5B1F">
        <w:t xml:space="preserve"> ao processo de rede</w:t>
      </w:r>
      <w:r w:rsidR="00262BEA" w:rsidRPr="003F5B1F">
        <w:t xml:space="preserve">mocratização do País, </w:t>
      </w:r>
      <w:r w:rsidR="00013DCA" w:rsidRPr="003F5B1F">
        <w:t>cuja Constituição Federal de 1988</w:t>
      </w:r>
      <w:r w:rsidR="00CF2801" w:rsidRPr="003F5B1F">
        <w:t xml:space="preserve"> </w:t>
      </w:r>
      <w:r w:rsidR="00D01630" w:rsidRPr="003F5B1F">
        <w:t>revelou a necessidade de transparência</w:t>
      </w:r>
      <w:r w:rsidR="00AE2532" w:rsidRPr="003F5B1F">
        <w:t xml:space="preserve"> pública</w:t>
      </w:r>
      <w:r w:rsidR="00F51CA0" w:rsidRPr="003F5B1F">
        <w:t>,</w:t>
      </w:r>
      <w:r w:rsidR="00D01630" w:rsidRPr="003F5B1F">
        <w:t xml:space="preserve"> ao </w:t>
      </w:r>
      <w:r w:rsidR="008E64D4" w:rsidRPr="003F5B1F">
        <w:t>sublinha</w:t>
      </w:r>
      <w:r w:rsidR="00D01630" w:rsidRPr="003F5B1F">
        <w:t>r</w:t>
      </w:r>
      <w:r w:rsidR="009D54F8" w:rsidRPr="003F5B1F">
        <w:t xml:space="preserve"> a publicidade das ações e dec</w:t>
      </w:r>
      <w:r w:rsidR="00EE4435" w:rsidRPr="003F5B1F">
        <w:t>isões dos governantes</w:t>
      </w:r>
      <w:r w:rsidR="00F51CA0" w:rsidRPr="003F5B1F">
        <w:t xml:space="preserve">, e prosseguiu </w:t>
      </w:r>
      <w:r w:rsidR="0099646D" w:rsidRPr="003F5B1F">
        <w:t xml:space="preserve">com a </w:t>
      </w:r>
      <w:r w:rsidR="00615251" w:rsidRPr="003F5B1F">
        <w:t xml:space="preserve">contínua </w:t>
      </w:r>
      <w:r w:rsidR="0099646D" w:rsidRPr="003F5B1F">
        <w:t>edição de leis que propagam</w:t>
      </w:r>
      <w:r w:rsidR="00CA2D76" w:rsidRPr="003F5B1F">
        <w:t xml:space="preserve"> a divulgação </w:t>
      </w:r>
      <w:r w:rsidR="0057522E" w:rsidRPr="003F5B1F">
        <w:t>de dados do governo.</w:t>
      </w:r>
    </w:p>
    <w:p w14:paraId="2E439173" w14:textId="72A441A8" w:rsidR="00D6069E" w:rsidRPr="003F5B1F" w:rsidRDefault="00D6069E" w:rsidP="000B7B0D">
      <w:r w:rsidRPr="003F5B1F">
        <w:t xml:space="preserve">Por fim, </w:t>
      </w:r>
      <w:r w:rsidR="001A5B4C" w:rsidRPr="003F5B1F">
        <w:t>admite-se</w:t>
      </w:r>
      <w:r w:rsidR="009878AE" w:rsidRPr="003F5B1F">
        <w:t xml:space="preserve"> </w:t>
      </w:r>
      <w:r w:rsidR="00411152" w:rsidRPr="003F5B1F">
        <w:t xml:space="preserve">que o Brasil </w:t>
      </w:r>
      <w:r w:rsidR="00610368" w:rsidRPr="003F5B1F">
        <w:t>obteve considerável avanço</w:t>
      </w:r>
      <w:r w:rsidR="009857B2" w:rsidRPr="003F5B1F">
        <w:t xml:space="preserve"> na divulgação </w:t>
      </w:r>
      <w:r w:rsidR="000B0A2D" w:rsidRPr="003F5B1F">
        <w:t>d</w:t>
      </w:r>
      <w:r w:rsidR="00AB6F32" w:rsidRPr="003F5B1F">
        <w:t>os valores d</w:t>
      </w:r>
      <w:r w:rsidR="002E417B" w:rsidRPr="003F5B1F">
        <w:t>e</w:t>
      </w:r>
      <w:r w:rsidR="00AB6F32" w:rsidRPr="003F5B1F">
        <w:t xml:space="preserve"> recursos e dispêndios públicos</w:t>
      </w:r>
      <w:r w:rsidR="00B90697" w:rsidRPr="003F5B1F">
        <w:t xml:space="preserve">, </w:t>
      </w:r>
      <w:r w:rsidR="006F1F81" w:rsidRPr="003F5B1F">
        <w:t xml:space="preserve">evoluindo para uma posição em que o sigilo da coisa pública </w:t>
      </w:r>
      <w:r w:rsidR="00A8312A" w:rsidRPr="003F5B1F">
        <w:t xml:space="preserve">se configura como exceção ao regramento geral. </w:t>
      </w:r>
      <w:r w:rsidR="00967481" w:rsidRPr="003F5B1F">
        <w:t xml:space="preserve">Assim, </w:t>
      </w:r>
      <w:r w:rsidR="00E92FC7" w:rsidRPr="003F5B1F">
        <w:t xml:space="preserve">os órgãos públicos </w:t>
      </w:r>
      <w:r w:rsidR="00CB4900" w:rsidRPr="003F5B1F">
        <w:t>“</w:t>
      </w:r>
      <w:r w:rsidR="003A540C" w:rsidRPr="003F5B1F">
        <w:t xml:space="preserve">atuam como </w:t>
      </w:r>
      <w:r w:rsidR="00CB4900" w:rsidRPr="003F5B1F">
        <w:t xml:space="preserve">guardiães do bem público”, e não mais como </w:t>
      </w:r>
      <w:r w:rsidR="00281D65" w:rsidRPr="003F5B1F">
        <w:t>donos da informação (M</w:t>
      </w:r>
      <w:r w:rsidR="007639B0">
        <w:t>endel</w:t>
      </w:r>
      <w:r w:rsidR="00281D65" w:rsidRPr="003F5B1F">
        <w:t>, 2009, p.4)</w:t>
      </w:r>
      <w:r w:rsidR="002E417B" w:rsidRPr="003F5B1F">
        <w:t>.</w:t>
      </w:r>
      <w:r w:rsidR="00AE7CA8" w:rsidRPr="003F5B1F">
        <w:t xml:space="preserve"> </w:t>
      </w:r>
      <w:r w:rsidR="000B7ACC" w:rsidRPr="003F5B1F">
        <w:t>E</w:t>
      </w:r>
      <w:r w:rsidR="00D141A6" w:rsidRPr="003F5B1F">
        <w:t xml:space="preserve">sse avanço </w:t>
      </w:r>
      <w:r w:rsidR="00216D41" w:rsidRPr="003F5B1F">
        <w:t xml:space="preserve">na publicização </w:t>
      </w:r>
      <w:r w:rsidR="00A03855" w:rsidRPr="003F5B1F">
        <w:t xml:space="preserve">dos dados públicos </w:t>
      </w:r>
      <w:r w:rsidR="009A0B4A" w:rsidRPr="003F5B1F">
        <w:t xml:space="preserve">almeja </w:t>
      </w:r>
      <w:r w:rsidR="00444F05" w:rsidRPr="003F5B1F">
        <w:t>uma participação ativa</w:t>
      </w:r>
      <w:r w:rsidR="00456390" w:rsidRPr="003F5B1F">
        <w:t xml:space="preserve"> </w:t>
      </w:r>
      <w:r w:rsidR="00444F05" w:rsidRPr="003F5B1F">
        <w:t>da sociedade</w:t>
      </w:r>
      <w:r w:rsidR="00456390" w:rsidRPr="003F5B1F">
        <w:t xml:space="preserve"> no acompanhamento das finanças públicas</w:t>
      </w:r>
      <w:r w:rsidR="00C97E56" w:rsidRPr="003F5B1F">
        <w:t xml:space="preserve">. No entanto, </w:t>
      </w:r>
      <w:r w:rsidR="00A17EB9" w:rsidRPr="003F5B1F">
        <w:t xml:space="preserve">por mais contraditório que possa parecer, o </w:t>
      </w:r>
      <w:r w:rsidR="00D820AD" w:rsidRPr="003F5B1F">
        <w:t>amplo</w:t>
      </w:r>
      <w:r w:rsidR="00A17EB9" w:rsidRPr="003F5B1F">
        <w:t xml:space="preserve"> acesso às informações </w:t>
      </w:r>
      <w:r w:rsidR="0019247B" w:rsidRPr="003F5B1F">
        <w:t>fiscais pode</w:t>
      </w:r>
      <w:r w:rsidR="00272700" w:rsidRPr="003F5B1F">
        <w:t xml:space="preserve"> causar </w:t>
      </w:r>
      <w:r w:rsidR="000237B2" w:rsidRPr="003F5B1F">
        <w:t>um</w:t>
      </w:r>
      <w:r w:rsidR="00D820AD" w:rsidRPr="003F5B1F">
        <w:t>a elevação dos</w:t>
      </w:r>
      <w:r w:rsidR="001D1521" w:rsidRPr="003F5B1F">
        <w:t xml:space="preserve"> </w:t>
      </w:r>
      <w:r w:rsidR="00272700" w:rsidRPr="003F5B1F">
        <w:t xml:space="preserve">ruídos </w:t>
      </w:r>
      <w:r w:rsidR="001D1521" w:rsidRPr="003F5B1F">
        <w:t xml:space="preserve">na comunicação </w:t>
      </w:r>
      <w:r w:rsidR="00C9241D" w:rsidRPr="003F5B1F">
        <w:t xml:space="preserve">das políticas públicas, </w:t>
      </w:r>
      <w:r w:rsidR="004A0A9B" w:rsidRPr="003F5B1F">
        <w:t xml:space="preserve">caso haja uma profusão de números e informações, publicadas pelas mais diversas fontes, </w:t>
      </w:r>
      <w:r w:rsidR="006B297C" w:rsidRPr="003F5B1F">
        <w:t xml:space="preserve">que deveriam </w:t>
      </w:r>
      <w:r w:rsidR="005878CC" w:rsidRPr="003F5B1F">
        <w:t>tratar uniformemente sobre um mesmo tema</w:t>
      </w:r>
      <w:r w:rsidR="009402CC">
        <w:t>,</w:t>
      </w:r>
      <w:r w:rsidR="005878CC" w:rsidRPr="003F5B1F">
        <w:t xml:space="preserve"> e terminam </w:t>
      </w:r>
      <w:r w:rsidR="000237B2" w:rsidRPr="003F5B1F">
        <w:t xml:space="preserve">por </w:t>
      </w:r>
      <w:r w:rsidR="002B1B8A" w:rsidRPr="003F5B1F">
        <w:t>não con</w:t>
      </w:r>
      <w:r w:rsidR="000237B2" w:rsidRPr="003F5B1F">
        <w:t>vergir entre si.</w:t>
      </w:r>
    </w:p>
    <w:p w14:paraId="3B908200" w14:textId="7EF48722" w:rsidR="001A5B4C" w:rsidRPr="003F5B1F" w:rsidRDefault="001A5B4C" w:rsidP="000B7B0D">
      <w:r w:rsidRPr="003F5B1F">
        <w:t>Diante desse quadro, question</w:t>
      </w:r>
      <w:r w:rsidR="00B66FFF" w:rsidRPr="003F5B1F">
        <w:t>ou</w:t>
      </w:r>
      <w:r w:rsidR="00760CDF" w:rsidRPr="003F5B1F">
        <w:t>-</w:t>
      </w:r>
      <w:r w:rsidRPr="003F5B1F">
        <w:t>se</w:t>
      </w:r>
      <w:r w:rsidR="00722EB0" w:rsidRPr="003F5B1F">
        <w:t>:</w:t>
      </w:r>
      <w:r w:rsidR="006B670C" w:rsidRPr="003F5B1F">
        <w:t xml:space="preserve"> há </w:t>
      </w:r>
      <w:r w:rsidR="00F61102" w:rsidRPr="003F5B1F">
        <w:t>uniformidade</w:t>
      </w:r>
      <w:r w:rsidR="006B670C" w:rsidRPr="003F5B1F">
        <w:t xml:space="preserve"> entre os números e as nomenclaturas empregadas na divulgação de dados relativos aos gastos com pessoal, com </w:t>
      </w:r>
      <w:r w:rsidR="006B670C" w:rsidRPr="003F5B1F">
        <w:lastRenderedPageBreak/>
        <w:t>previdência e com investimento nos relatórios Boletim de Finanças dos Entes Subnacionais, Estatísticas Fiscais Trimestrais do Governo Geral e Resultado do Tesouro Nacional (RTN)</w:t>
      </w:r>
      <w:r w:rsidR="004E10C3" w:rsidRPr="003F5B1F">
        <w:t>?</w:t>
      </w:r>
      <w:r w:rsidR="00E65DC7" w:rsidRPr="003F5B1F">
        <w:t xml:space="preserve"> </w:t>
      </w:r>
    </w:p>
    <w:p w14:paraId="4AF5BA75" w14:textId="4C8B5441" w:rsidR="004E10C3" w:rsidRPr="003F5B1F" w:rsidRDefault="004E10C3" w:rsidP="000B7B0D">
      <w:r w:rsidRPr="003F5B1F">
        <w:t>Para responder a essa pergunta, estrutur</w:t>
      </w:r>
      <w:r w:rsidR="00216FF5" w:rsidRPr="003F5B1F">
        <w:t>ou</w:t>
      </w:r>
      <w:r w:rsidRPr="003F5B1F">
        <w:t xml:space="preserve">-se o </w:t>
      </w:r>
      <w:r w:rsidR="00244D69" w:rsidRPr="003F5B1F">
        <w:t>estudo</w:t>
      </w:r>
      <w:r w:rsidRPr="003F5B1F">
        <w:t xml:space="preserve"> em duas partes</w:t>
      </w:r>
      <w:r w:rsidR="00244D69" w:rsidRPr="003F5B1F">
        <w:t xml:space="preserve">, uma teórica e outra empírica. Na primeira parte, </w:t>
      </w:r>
      <w:r w:rsidR="004C0AFA" w:rsidRPr="003F5B1F">
        <w:t xml:space="preserve">foi discutida </w:t>
      </w:r>
      <w:r w:rsidR="00EE1929" w:rsidRPr="003F5B1F">
        <w:t xml:space="preserve">a relação entre os processos de comunicação </w:t>
      </w:r>
      <w:r w:rsidR="00FD4E8E" w:rsidRPr="003F5B1F">
        <w:t>e o conceito de transparência</w:t>
      </w:r>
      <w:r w:rsidR="009266E9" w:rsidRPr="003F5B1F">
        <w:t xml:space="preserve"> para fundamentar </w:t>
      </w:r>
      <w:r w:rsidR="00477664" w:rsidRPr="003F5B1F">
        <w:t xml:space="preserve">a reflexão sobre </w:t>
      </w:r>
      <w:r w:rsidR="009D7171" w:rsidRPr="003F5B1F">
        <w:t xml:space="preserve">a compreensão </w:t>
      </w:r>
      <w:r w:rsidR="00684DAB" w:rsidRPr="003F5B1F">
        <w:t>e o uso pela sociedade</w:t>
      </w:r>
      <w:r w:rsidR="00431194" w:rsidRPr="003F5B1F">
        <w:t xml:space="preserve"> dos dados divulgados</w:t>
      </w:r>
      <w:r w:rsidR="005B3284" w:rsidRPr="003F5B1F">
        <w:t xml:space="preserve">, </w:t>
      </w:r>
      <w:r w:rsidR="00267BA4" w:rsidRPr="003F5B1F">
        <w:t xml:space="preserve">cuja inteligibilidade pode </w:t>
      </w:r>
      <w:r w:rsidR="00B24A1F" w:rsidRPr="003F5B1F">
        <w:t xml:space="preserve">ser afetada </w:t>
      </w:r>
      <w:r w:rsidR="00051DF1" w:rsidRPr="003F5B1F">
        <w:t xml:space="preserve">pela exposição </w:t>
      </w:r>
      <w:r w:rsidR="00953FAB" w:rsidRPr="003F5B1F">
        <w:t>concorrente</w:t>
      </w:r>
      <w:r w:rsidR="005D08FE" w:rsidRPr="003F5B1F">
        <w:t xml:space="preserve"> dos três relatórios</w:t>
      </w:r>
      <w:r w:rsidR="001501AB" w:rsidRPr="003F5B1F">
        <w:t xml:space="preserve">, </w:t>
      </w:r>
      <w:r w:rsidR="00610FA3" w:rsidRPr="003F5B1F">
        <w:t>em se tratando d</w:t>
      </w:r>
      <w:r w:rsidR="001709E0" w:rsidRPr="003F5B1F">
        <w:t>a hipótese</w:t>
      </w:r>
      <w:r w:rsidR="000C3C9A" w:rsidRPr="003F5B1F">
        <w:t xml:space="preserve"> de haver denominações diferentes que se dispõem a abordar o mesmo tema ou, ainda, nomenclaturas semelhantes que revelam números destoantes</w:t>
      </w:r>
      <w:r w:rsidR="00C41C45" w:rsidRPr="003F5B1F">
        <w:t xml:space="preserve">. </w:t>
      </w:r>
      <w:r w:rsidR="00B22E9C" w:rsidRPr="003F5B1F">
        <w:t xml:space="preserve">Da mesma forma </w:t>
      </w:r>
      <w:r w:rsidR="00CA4333" w:rsidRPr="003F5B1F">
        <w:t xml:space="preserve">que os precursores da teoria da comunicação </w:t>
      </w:r>
      <w:r w:rsidR="006D4E61" w:rsidRPr="003F5B1F">
        <w:t xml:space="preserve">precisaram se abstrair </w:t>
      </w:r>
      <w:r w:rsidR="0042296E" w:rsidRPr="003F5B1F">
        <w:t xml:space="preserve">do significado de uma mensagem para organizar as bases </w:t>
      </w:r>
      <w:r w:rsidR="00BF2A05" w:rsidRPr="003F5B1F">
        <w:t>conceituais e metodológicas</w:t>
      </w:r>
      <w:r w:rsidR="00BA6B0E" w:rsidRPr="003F5B1F">
        <w:t xml:space="preserve"> da ciência </w:t>
      </w:r>
      <w:r w:rsidR="00377D28" w:rsidRPr="003F5B1F">
        <w:t xml:space="preserve">comunicativa, </w:t>
      </w:r>
      <w:r w:rsidR="00752E83" w:rsidRPr="003F5B1F">
        <w:t xml:space="preserve">a transparência </w:t>
      </w:r>
      <w:r w:rsidR="0070268A" w:rsidRPr="003F5B1F">
        <w:t>envidou esforços, inicialmente, n</w:t>
      </w:r>
      <w:r w:rsidR="00894D46" w:rsidRPr="003F5B1F">
        <w:t>o fomento à</w:t>
      </w:r>
      <w:r w:rsidR="0070268A" w:rsidRPr="003F5B1F">
        <w:t xml:space="preserve"> </w:t>
      </w:r>
      <w:r w:rsidR="00334951" w:rsidRPr="003F5B1F">
        <w:t xml:space="preserve">exposição </w:t>
      </w:r>
      <w:r w:rsidR="00B90593" w:rsidRPr="003F5B1F">
        <w:t>bruta de documentos e dados públicos</w:t>
      </w:r>
      <w:r w:rsidR="00363CD9" w:rsidRPr="003F5B1F">
        <w:t xml:space="preserve">, </w:t>
      </w:r>
      <w:r w:rsidR="00620584" w:rsidRPr="003F5B1F">
        <w:t xml:space="preserve">em contraponto à confidência do passado recente, </w:t>
      </w:r>
      <w:r w:rsidR="00CA7098" w:rsidRPr="003F5B1F">
        <w:t>descon</w:t>
      </w:r>
      <w:r w:rsidR="00DE2827" w:rsidRPr="003F5B1F">
        <w:t xml:space="preserve">siderando </w:t>
      </w:r>
      <w:r w:rsidR="009F7E9D" w:rsidRPr="003F5B1F">
        <w:t>qualquer tratamento</w:t>
      </w:r>
      <w:r w:rsidR="00152E0C" w:rsidRPr="003F5B1F">
        <w:t xml:space="preserve"> que visasse a um melhor entendimento pelo receptor da mensagem</w:t>
      </w:r>
      <w:r w:rsidR="00D82C2A" w:rsidRPr="003F5B1F">
        <w:t>.</w:t>
      </w:r>
    </w:p>
    <w:p w14:paraId="754007A7" w14:textId="4AC71BA5" w:rsidR="003D552F" w:rsidRPr="003F5B1F" w:rsidRDefault="000176FE" w:rsidP="000B7B0D">
      <w:r w:rsidRPr="003F5B1F">
        <w:t>Percebe</w:t>
      </w:r>
      <w:r w:rsidR="003A1603" w:rsidRPr="003F5B1F">
        <w:t>-se</w:t>
      </w:r>
      <w:r w:rsidRPr="003F5B1F">
        <w:t xml:space="preserve">, </w:t>
      </w:r>
      <w:r w:rsidR="005A18ED" w:rsidRPr="003F5B1F">
        <w:t>no entanto</w:t>
      </w:r>
      <w:r w:rsidRPr="003F5B1F">
        <w:t>,</w:t>
      </w:r>
      <w:r w:rsidR="005A18ED" w:rsidRPr="003F5B1F">
        <w:t xml:space="preserve"> </w:t>
      </w:r>
      <w:r w:rsidR="0015091E" w:rsidRPr="003F5B1F">
        <w:t xml:space="preserve">a limitação tanto das </w:t>
      </w:r>
      <w:r w:rsidR="009C3599" w:rsidRPr="003F5B1F">
        <w:t>primeiras teorias da comunicação</w:t>
      </w:r>
      <w:r w:rsidR="00E42295" w:rsidRPr="003F5B1F">
        <w:t>,</w:t>
      </w:r>
      <w:r w:rsidR="009C3599" w:rsidRPr="003F5B1F">
        <w:t xml:space="preserve"> quanto </w:t>
      </w:r>
      <w:r w:rsidR="00DA1416" w:rsidRPr="003F5B1F">
        <w:t xml:space="preserve">da </w:t>
      </w:r>
      <w:r w:rsidR="00DE3696" w:rsidRPr="003F5B1F">
        <w:t xml:space="preserve">simples </w:t>
      </w:r>
      <w:r w:rsidR="00DA1416" w:rsidRPr="003F5B1F">
        <w:t xml:space="preserve">abertura </w:t>
      </w:r>
      <w:r w:rsidR="00714690" w:rsidRPr="003F5B1F">
        <w:t>d</w:t>
      </w:r>
      <w:r w:rsidR="00F95EBA" w:rsidRPr="003F5B1F">
        <w:t>as atividades e operações do</w:t>
      </w:r>
      <w:r w:rsidR="00714690" w:rsidRPr="003F5B1F">
        <w:t xml:space="preserve"> </w:t>
      </w:r>
      <w:r w:rsidR="000F172A" w:rsidRPr="003F5B1F">
        <w:t>Estado</w:t>
      </w:r>
      <w:r w:rsidR="003E073D" w:rsidRPr="003F5B1F">
        <w:t xml:space="preserve"> à sociedade</w:t>
      </w:r>
      <w:r w:rsidR="00D6209B" w:rsidRPr="003F5B1F">
        <w:t xml:space="preserve">, </w:t>
      </w:r>
      <w:r w:rsidR="009A7138" w:rsidRPr="003F5B1F">
        <w:t>ao não adentrar</w:t>
      </w:r>
      <w:r w:rsidR="004D2565" w:rsidRPr="003F5B1F">
        <w:t>em</w:t>
      </w:r>
      <w:r w:rsidR="009A7138" w:rsidRPr="003F5B1F">
        <w:t xml:space="preserve"> </w:t>
      </w:r>
      <w:r w:rsidR="0051442B" w:rsidRPr="003F5B1F">
        <w:t>n</w:t>
      </w:r>
      <w:r w:rsidR="00BC4C6E" w:rsidRPr="003F5B1F">
        <w:t>a construção</w:t>
      </w:r>
      <w:r w:rsidR="0051442B" w:rsidRPr="003F5B1F">
        <w:t xml:space="preserve"> </w:t>
      </w:r>
      <w:r w:rsidR="00BC4C6E" w:rsidRPr="003F5B1F">
        <w:t>de</w:t>
      </w:r>
      <w:r w:rsidR="0051442B" w:rsidRPr="003F5B1F">
        <w:t xml:space="preserve"> significados </w:t>
      </w:r>
      <w:r w:rsidR="007523AF" w:rsidRPr="003F5B1F">
        <w:t>e nem na relação destes com os sujeitos da informação.</w:t>
      </w:r>
      <w:r w:rsidR="00583BAB" w:rsidRPr="003F5B1F">
        <w:t xml:space="preserve"> </w:t>
      </w:r>
      <w:r w:rsidR="00081C3F" w:rsidRPr="003F5B1F">
        <w:t>Di</w:t>
      </w:r>
      <w:r w:rsidR="000C38F5" w:rsidRPr="003F5B1F">
        <w:t xml:space="preserve">ante dessa situação, </w:t>
      </w:r>
      <w:r w:rsidR="00E617A9" w:rsidRPr="003F5B1F">
        <w:t xml:space="preserve">defende-se que a transparência </w:t>
      </w:r>
      <w:r w:rsidR="001C1AA7" w:rsidRPr="003F5B1F">
        <w:t xml:space="preserve">não se limita ao </w:t>
      </w:r>
      <w:r w:rsidR="000F36C6" w:rsidRPr="003F5B1F">
        <w:t>acesso a documentos</w:t>
      </w:r>
      <w:r w:rsidR="002F7F83" w:rsidRPr="003F5B1F">
        <w:t xml:space="preserve">, </w:t>
      </w:r>
      <w:r w:rsidR="002A2666" w:rsidRPr="003F5B1F">
        <w:t>ela</w:t>
      </w:r>
      <w:r w:rsidR="003C1F29" w:rsidRPr="003F5B1F">
        <w:t xml:space="preserve"> </w:t>
      </w:r>
      <w:r w:rsidR="000450EC" w:rsidRPr="003F5B1F">
        <w:t xml:space="preserve">se </w:t>
      </w:r>
      <w:r w:rsidR="00417BC7" w:rsidRPr="003F5B1F">
        <w:t>constitui</w:t>
      </w:r>
      <w:r w:rsidR="000450EC" w:rsidRPr="003F5B1F">
        <w:t xml:space="preserve"> por meio</w:t>
      </w:r>
      <w:r w:rsidR="003C1F29" w:rsidRPr="003F5B1F">
        <w:t xml:space="preserve"> </w:t>
      </w:r>
      <w:r w:rsidR="000450EC" w:rsidRPr="003F5B1F">
        <w:t>d</w:t>
      </w:r>
      <w:r w:rsidR="002A2666" w:rsidRPr="003F5B1F">
        <w:t>a compreensão</w:t>
      </w:r>
      <w:r w:rsidR="000450EC" w:rsidRPr="003F5B1F">
        <w:t xml:space="preserve"> desses documentos</w:t>
      </w:r>
      <w:r w:rsidR="002D16D9" w:rsidRPr="003F5B1F">
        <w:t xml:space="preserve">. </w:t>
      </w:r>
      <w:r w:rsidR="001C7F5A" w:rsidRPr="003F5B1F">
        <w:t>Nesse sentido, u</w:t>
      </w:r>
      <w:r w:rsidR="002D16D9" w:rsidRPr="003F5B1F">
        <w:t xml:space="preserve">ma entidade governamental pode ser aberta, </w:t>
      </w:r>
      <w:r w:rsidR="00AF2D33" w:rsidRPr="003F5B1F">
        <w:t xml:space="preserve">mas não </w:t>
      </w:r>
      <w:r w:rsidR="007C1D6C" w:rsidRPr="003F5B1F">
        <w:t xml:space="preserve">ser </w:t>
      </w:r>
      <w:r w:rsidR="00AF2D33" w:rsidRPr="003F5B1F">
        <w:t xml:space="preserve">transparente, caso </w:t>
      </w:r>
      <w:r w:rsidR="001C7F5A" w:rsidRPr="003F5B1F">
        <w:t xml:space="preserve">o conteúdo </w:t>
      </w:r>
      <w:r w:rsidR="00C11683" w:rsidRPr="003F5B1F">
        <w:t xml:space="preserve">seja </w:t>
      </w:r>
      <w:r w:rsidR="001C7F5A" w:rsidRPr="003F5B1F">
        <w:t xml:space="preserve">exposto </w:t>
      </w:r>
      <w:r w:rsidR="00C42C53" w:rsidRPr="003F5B1F">
        <w:t>em uma linguagem não compreensível</w:t>
      </w:r>
      <w:r w:rsidR="003A020C" w:rsidRPr="003F5B1F">
        <w:t xml:space="preserve"> </w:t>
      </w:r>
      <w:r w:rsidR="000741EC" w:rsidRPr="003F5B1F">
        <w:t xml:space="preserve">para o cidadão </w:t>
      </w:r>
      <w:r w:rsidR="00C11683" w:rsidRPr="003F5B1F">
        <w:t>comum.</w:t>
      </w:r>
    </w:p>
    <w:p w14:paraId="2F06B546" w14:textId="06BDDD38" w:rsidR="00195516" w:rsidRPr="003F5B1F" w:rsidRDefault="00256FBD" w:rsidP="000B7B0D">
      <w:r w:rsidRPr="003F5B1F">
        <w:t>Em se tratando da significação de uma mensagem</w:t>
      </w:r>
      <w:r w:rsidR="00037BF9" w:rsidRPr="003F5B1F">
        <w:t xml:space="preserve">, </w:t>
      </w:r>
      <w:r w:rsidR="009240EE" w:rsidRPr="003F5B1F">
        <w:t>atenta-se para</w:t>
      </w:r>
      <w:r w:rsidR="00037BF9" w:rsidRPr="003F5B1F">
        <w:t xml:space="preserve"> necessidade</w:t>
      </w:r>
      <w:r w:rsidR="00D901AF" w:rsidRPr="003F5B1F">
        <w:t xml:space="preserve"> de introduzir</w:t>
      </w:r>
      <w:r w:rsidR="00BF0F71" w:rsidRPr="003F5B1F">
        <w:t xml:space="preserve"> a perspectiva </w:t>
      </w:r>
      <w:r w:rsidR="0018650F" w:rsidRPr="003F5B1F">
        <w:t>do receptor</w:t>
      </w:r>
      <w:r w:rsidR="0091121B" w:rsidRPr="003F5B1F">
        <w:t xml:space="preserve"> na comunicação</w:t>
      </w:r>
      <w:r w:rsidR="000B63B4" w:rsidRPr="003F5B1F">
        <w:t>, haja</w:t>
      </w:r>
      <w:r w:rsidR="007C6AFA" w:rsidRPr="003F5B1F">
        <w:t xml:space="preserve"> vista</w:t>
      </w:r>
      <w:r w:rsidR="009D5834" w:rsidRPr="003F5B1F">
        <w:t xml:space="preserve"> que </w:t>
      </w:r>
      <w:r w:rsidR="00C36ACA" w:rsidRPr="003F5B1F">
        <w:t>a compreensão da informação</w:t>
      </w:r>
      <w:r w:rsidR="0090002E" w:rsidRPr="003F5B1F">
        <w:t xml:space="preserve"> depende das necessidades interpretativas </w:t>
      </w:r>
      <w:r w:rsidR="009A61F1" w:rsidRPr="003F5B1F">
        <w:t>d</w:t>
      </w:r>
      <w:r w:rsidR="00235D46" w:rsidRPr="003F5B1F">
        <w:t>o interlocutor</w:t>
      </w:r>
      <w:r w:rsidR="009B2D26" w:rsidRPr="003F5B1F">
        <w:t xml:space="preserve">. </w:t>
      </w:r>
      <w:r w:rsidR="00910B0E" w:rsidRPr="003F5B1F">
        <w:t>E somente</w:t>
      </w:r>
      <w:r w:rsidR="00D36152" w:rsidRPr="003F5B1F">
        <w:t xml:space="preserve"> a construção individual de um significado</w:t>
      </w:r>
      <w:r w:rsidR="00827D30" w:rsidRPr="003F5B1F">
        <w:t xml:space="preserve">, </w:t>
      </w:r>
      <w:r w:rsidR="00B16386" w:rsidRPr="003F5B1F">
        <w:t>que leva em consideração as circunstâncias</w:t>
      </w:r>
      <w:r w:rsidR="0021415D" w:rsidRPr="003F5B1F">
        <w:t xml:space="preserve"> </w:t>
      </w:r>
      <w:r w:rsidR="00E54B34" w:rsidRPr="003F5B1F">
        <w:t>socioculturais</w:t>
      </w:r>
      <w:r w:rsidR="001D0583" w:rsidRPr="003F5B1F">
        <w:t xml:space="preserve"> e o patamar de instrução</w:t>
      </w:r>
      <w:r w:rsidR="00F4513F" w:rsidRPr="003F5B1F">
        <w:t>,</w:t>
      </w:r>
      <w:r w:rsidR="00D36152" w:rsidRPr="003F5B1F">
        <w:t xml:space="preserve"> po</w:t>
      </w:r>
      <w:r w:rsidR="00B90308" w:rsidRPr="003F5B1F">
        <w:t>de</w:t>
      </w:r>
      <w:r w:rsidR="00D36152" w:rsidRPr="003F5B1F">
        <w:t xml:space="preserve"> </w:t>
      </w:r>
      <w:r w:rsidR="00A61458" w:rsidRPr="003F5B1F">
        <w:t>conduzir</w:t>
      </w:r>
      <w:r w:rsidR="00D36152" w:rsidRPr="003F5B1F">
        <w:t xml:space="preserve"> às pessoas ao conhecimento</w:t>
      </w:r>
    </w:p>
    <w:p w14:paraId="537C6FF8" w14:textId="3BB46EC0" w:rsidR="00946E10" w:rsidRPr="003F5B1F" w:rsidRDefault="00A02E84" w:rsidP="000B7B0D">
      <w:r w:rsidRPr="003F5B1F">
        <w:t xml:space="preserve">A </w:t>
      </w:r>
      <w:r w:rsidR="00892AE2" w:rsidRPr="003F5B1F">
        <w:t xml:space="preserve">comunicação do Estado, portanto, para ser transparente, </w:t>
      </w:r>
      <w:r w:rsidR="00961C02" w:rsidRPr="003F5B1F">
        <w:t xml:space="preserve">deve </w:t>
      </w:r>
      <w:r w:rsidR="00D04D40" w:rsidRPr="003F5B1F">
        <w:t>enfrentar a complexidade</w:t>
      </w:r>
      <w:r w:rsidR="00540696" w:rsidRPr="003F5B1F">
        <w:t>, o segrego</w:t>
      </w:r>
      <w:r w:rsidR="009C2697" w:rsidRPr="003F5B1F">
        <w:t xml:space="preserve"> e </w:t>
      </w:r>
      <w:r w:rsidR="00D04D40" w:rsidRPr="003F5B1F">
        <w:t xml:space="preserve">a desordem </w:t>
      </w:r>
      <w:r w:rsidR="00AF7827" w:rsidRPr="003F5B1F">
        <w:t>com a finalidade de erigir sistemas de informação mais compreensíveis, simples e dirigidos aos usuários da informação, especialistas ou não.</w:t>
      </w:r>
    </w:p>
    <w:p w14:paraId="318EB45C" w14:textId="433902E0" w:rsidR="000D7B1A" w:rsidRPr="003F5B1F" w:rsidRDefault="00D54D13" w:rsidP="000B7B0D">
      <w:r w:rsidRPr="003F5B1F">
        <w:t xml:space="preserve">A </w:t>
      </w:r>
      <w:r w:rsidR="000D7B1A" w:rsidRPr="003F5B1F">
        <w:t xml:space="preserve">segunda parte do trabalho – </w:t>
      </w:r>
      <w:r w:rsidR="00F27F36" w:rsidRPr="003F5B1F">
        <w:t xml:space="preserve">uma pesquisa empírica </w:t>
      </w:r>
      <w:r w:rsidR="009602D7" w:rsidRPr="003F5B1F">
        <w:t xml:space="preserve">e descritiva </w:t>
      </w:r>
      <w:r w:rsidR="00CA1598" w:rsidRPr="003F5B1F">
        <w:t>n</w:t>
      </w:r>
      <w:r w:rsidR="00F470E8" w:rsidRPr="003F5B1F">
        <w:t xml:space="preserve">os </w:t>
      </w:r>
      <w:r w:rsidR="00731665" w:rsidRPr="003F5B1F">
        <w:t>relatórios Boletim de Finanças dos Entes Subnacionais, Estatísticas Fiscais Trimestrais do Governo Geral e RTN</w:t>
      </w:r>
      <w:r w:rsidR="00CA1598" w:rsidRPr="003F5B1F">
        <w:t xml:space="preserve"> – </w:t>
      </w:r>
      <w:r w:rsidR="00401C09" w:rsidRPr="003F5B1F">
        <w:t>identific</w:t>
      </w:r>
      <w:r w:rsidR="00216FF5" w:rsidRPr="003F5B1F">
        <w:t>ou</w:t>
      </w:r>
      <w:r w:rsidR="00401C09" w:rsidRPr="003F5B1F">
        <w:t xml:space="preserve"> os números </w:t>
      </w:r>
      <w:r w:rsidR="00982747" w:rsidRPr="003F5B1F">
        <w:t>acerca</w:t>
      </w:r>
      <w:r w:rsidR="00DE57D3" w:rsidRPr="003F5B1F">
        <w:t xml:space="preserve"> dos gastos com pessoal, com previdência e com investimento</w:t>
      </w:r>
      <w:r w:rsidR="006317E4" w:rsidRPr="003F5B1F">
        <w:t xml:space="preserve"> e verific</w:t>
      </w:r>
      <w:r w:rsidR="00216FF5" w:rsidRPr="003F5B1F">
        <w:t>ou</w:t>
      </w:r>
      <w:r w:rsidR="006317E4" w:rsidRPr="003F5B1F">
        <w:t xml:space="preserve"> a</w:t>
      </w:r>
      <w:r w:rsidR="00A919CC" w:rsidRPr="003F5B1F">
        <w:t xml:space="preserve">s rubricas com que </w:t>
      </w:r>
      <w:r w:rsidR="006E32AB" w:rsidRPr="003F5B1F">
        <w:t xml:space="preserve">esses gastos </w:t>
      </w:r>
      <w:r w:rsidR="00A919CC" w:rsidRPr="003F5B1F">
        <w:t>são identificad</w:t>
      </w:r>
      <w:r w:rsidR="00372C8E" w:rsidRPr="003F5B1F">
        <w:t>o</w:t>
      </w:r>
      <w:r w:rsidR="00A919CC" w:rsidRPr="003F5B1F">
        <w:t>s</w:t>
      </w:r>
      <w:r w:rsidR="00D32476" w:rsidRPr="003F5B1F">
        <w:t>. Antes</w:t>
      </w:r>
      <w:r w:rsidR="002F2293" w:rsidRPr="003F5B1F">
        <w:t xml:space="preserve"> de explorar</w:t>
      </w:r>
      <w:r w:rsidR="008429EF" w:rsidRPr="003F5B1F">
        <w:t xml:space="preserve"> os dados</w:t>
      </w:r>
      <w:r w:rsidR="00D32476" w:rsidRPr="003F5B1F">
        <w:t xml:space="preserve">, </w:t>
      </w:r>
      <w:r w:rsidR="004B2733" w:rsidRPr="003F5B1F">
        <w:t xml:space="preserve">no </w:t>
      </w:r>
      <w:r w:rsidR="004B2733" w:rsidRPr="003F5B1F">
        <w:lastRenderedPageBreak/>
        <w:t>entanto,</w:t>
      </w:r>
      <w:r w:rsidR="00FA15A8" w:rsidRPr="003F5B1F">
        <w:t xml:space="preserve"> </w:t>
      </w:r>
      <w:r w:rsidR="004E42DD" w:rsidRPr="003F5B1F">
        <w:t>situou-se</w:t>
      </w:r>
      <w:r w:rsidR="00FA15A8" w:rsidRPr="003F5B1F">
        <w:t xml:space="preserve"> o panorama</w:t>
      </w:r>
      <w:r w:rsidR="00CA1F2C" w:rsidRPr="003F5B1F">
        <w:t xml:space="preserve"> </w:t>
      </w:r>
      <w:r w:rsidR="00610AD8" w:rsidRPr="003F5B1F">
        <w:t xml:space="preserve">atual </w:t>
      </w:r>
      <w:r w:rsidR="009C37AA" w:rsidRPr="003F5B1F">
        <w:t>d</w:t>
      </w:r>
      <w:r w:rsidR="008429EF" w:rsidRPr="003F5B1F">
        <w:t>os</w:t>
      </w:r>
      <w:r w:rsidR="002806BA" w:rsidRPr="003F5B1F">
        <w:t xml:space="preserve"> documentos</w:t>
      </w:r>
      <w:r w:rsidR="00610AD8" w:rsidRPr="003F5B1F">
        <w:t xml:space="preserve"> </w:t>
      </w:r>
      <w:r w:rsidR="00964598" w:rsidRPr="003F5B1F">
        <w:t>da STN</w:t>
      </w:r>
      <w:r w:rsidR="009C37AA" w:rsidRPr="003F5B1F">
        <w:t xml:space="preserve"> </w:t>
      </w:r>
      <w:r w:rsidR="00D213C7" w:rsidRPr="003F5B1F">
        <w:t xml:space="preserve">que </w:t>
      </w:r>
      <w:r w:rsidR="00641D10" w:rsidRPr="003F5B1F">
        <w:t>subsidiam essa</w:t>
      </w:r>
      <w:r w:rsidR="00487C2D" w:rsidRPr="003F5B1F">
        <w:t>s informações</w:t>
      </w:r>
      <w:r w:rsidR="008429EF" w:rsidRPr="003F5B1F">
        <w:t xml:space="preserve"> e verificou</w:t>
      </w:r>
      <w:r w:rsidR="007717A7" w:rsidRPr="003F5B1F">
        <w:t xml:space="preserve">-se </w:t>
      </w:r>
      <w:r w:rsidR="00DF1814" w:rsidRPr="003F5B1F">
        <w:t>que eles são ampa</w:t>
      </w:r>
      <w:r w:rsidR="008866F8" w:rsidRPr="003F5B1F">
        <w:t xml:space="preserve">rados por </w:t>
      </w:r>
      <w:r w:rsidR="00FA77BE" w:rsidRPr="003F5B1F">
        <w:t xml:space="preserve">contextos diferentes, </w:t>
      </w:r>
      <w:r w:rsidR="008866F8" w:rsidRPr="003F5B1F">
        <w:t>metodologias próprias</w:t>
      </w:r>
      <w:r w:rsidR="00A26330" w:rsidRPr="003F5B1F">
        <w:t xml:space="preserve"> </w:t>
      </w:r>
      <w:r w:rsidR="007B145C" w:rsidRPr="003F5B1F">
        <w:t>e atributos distintos</w:t>
      </w:r>
      <w:r w:rsidR="00FA77BE" w:rsidRPr="003F5B1F">
        <w:t>.</w:t>
      </w:r>
    </w:p>
    <w:p w14:paraId="274F363E" w14:textId="1A6FDF4A" w:rsidR="00A05370" w:rsidRDefault="009A0327" w:rsidP="000B7B0D">
      <w:r w:rsidRPr="003F5B1F">
        <w:t>Pela pesquisa, d</w:t>
      </w:r>
      <w:r w:rsidR="003F7578" w:rsidRPr="003F5B1F">
        <w:t xml:space="preserve">e forma sintética, foram encontradas </w:t>
      </w:r>
      <w:r w:rsidR="00CD353A" w:rsidRPr="003F5B1F">
        <w:t xml:space="preserve">as seguintes </w:t>
      </w:r>
      <w:r w:rsidR="004B613A" w:rsidRPr="003F5B1F">
        <w:t>denominações</w:t>
      </w:r>
      <w:r w:rsidR="00CD353A" w:rsidRPr="003F5B1F">
        <w:t xml:space="preserve"> </w:t>
      </w:r>
      <w:r w:rsidR="0047202E" w:rsidRPr="003F5B1F">
        <w:t xml:space="preserve">para expressar </w:t>
      </w:r>
      <w:r w:rsidR="00B40367" w:rsidRPr="003F5B1F">
        <w:t>o gasto com pessoal</w:t>
      </w:r>
      <w:r w:rsidR="008E052A" w:rsidRPr="003F5B1F">
        <w:t xml:space="preserve"> nas esferas de governo</w:t>
      </w:r>
      <w:r w:rsidR="004A198A" w:rsidRPr="003F5B1F">
        <w:t>:</w:t>
      </w:r>
      <w:r w:rsidR="004B613A" w:rsidRPr="003F5B1F">
        <w:t xml:space="preserve"> </w:t>
      </w:r>
      <w:r w:rsidR="00931316" w:rsidRPr="003F5B1F">
        <w:t xml:space="preserve">a) </w:t>
      </w:r>
      <w:r w:rsidR="00B465C7" w:rsidRPr="003F5B1F">
        <w:t>p</w:t>
      </w:r>
      <w:r w:rsidR="00931316" w:rsidRPr="003F5B1F">
        <w:t>essoal e encargos sociais, b) remuneração de empregados, c) gasto com pessoal</w:t>
      </w:r>
      <w:r w:rsidR="002C6C1C" w:rsidRPr="003F5B1F">
        <w:t xml:space="preserve"> e d) pessoal ativo</w:t>
      </w:r>
      <w:r w:rsidR="000C49B8" w:rsidRPr="003F5B1F">
        <w:t xml:space="preserve">. </w:t>
      </w:r>
      <w:r w:rsidR="00CD0493" w:rsidRPr="003F5B1F">
        <w:t xml:space="preserve">No que concerne à previdência, </w:t>
      </w:r>
      <w:r w:rsidR="00047812" w:rsidRPr="003F5B1F">
        <w:t>a atenção</w:t>
      </w:r>
      <w:r w:rsidR="0038209C" w:rsidRPr="003F5B1F">
        <w:t xml:space="preserve"> se deu nos itens</w:t>
      </w:r>
      <w:r w:rsidR="00B465C7" w:rsidRPr="003F5B1F">
        <w:t>:</w:t>
      </w:r>
      <w:r w:rsidR="00047812" w:rsidRPr="003F5B1F">
        <w:t xml:space="preserve"> </w:t>
      </w:r>
      <w:r w:rsidR="00A71AC0" w:rsidRPr="003F5B1F">
        <w:t>1)</w:t>
      </w:r>
      <w:r w:rsidR="00B465C7" w:rsidRPr="003F5B1F">
        <w:t xml:space="preserve"> </w:t>
      </w:r>
      <w:r w:rsidR="00910898" w:rsidRPr="003F5B1F">
        <w:t>benefícios previdenciários, 2) benefícios sociais, 3) custo previdenciário</w:t>
      </w:r>
      <w:r w:rsidR="00426909" w:rsidRPr="003F5B1F">
        <w:t xml:space="preserve"> e 4) inativos e pensionistas. </w:t>
      </w:r>
      <w:r w:rsidR="00F4161A" w:rsidRPr="003F5B1F">
        <w:t>Já sobre</w:t>
      </w:r>
      <w:r w:rsidR="00426909" w:rsidRPr="003F5B1F">
        <w:t xml:space="preserve"> </w:t>
      </w:r>
      <w:r w:rsidR="00E82A36" w:rsidRPr="003F5B1F">
        <w:t>as informações de investimento</w:t>
      </w:r>
      <w:r w:rsidR="00447097">
        <w:t>,</w:t>
      </w:r>
      <w:r w:rsidR="00E82A36" w:rsidRPr="003F5B1F">
        <w:t xml:space="preserve"> </w:t>
      </w:r>
      <w:r w:rsidR="00442291" w:rsidRPr="003F5B1F">
        <w:t>localizou-se esses termos: i)</w:t>
      </w:r>
      <w:r w:rsidR="00560300" w:rsidRPr="003F5B1F">
        <w:t xml:space="preserve"> investimento total</w:t>
      </w:r>
      <w:r w:rsidR="00120E76" w:rsidRPr="003F5B1F">
        <w:t xml:space="preserve">, </w:t>
      </w:r>
      <w:proofErr w:type="spellStart"/>
      <w:r w:rsidR="00120E76" w:rsidRPr="003F5B1F">
        <w:t>ii</w:t>
      </w:r>
      <w:proofErr w:type="spellEnd"/>
      <w:r w:rsidR="00120E76" w:rsidRPr="003F5B1F">
        <w:t xml:space="preserve">) aquisição de ativos não financeiros, </w:t>
      </w:r>
      <w:proofErr w:type="spellStart"/>
      <w:r w:rsidR="00120E76" w:rsidRPr="003F5B1F">
        <w:t>iii</w:t>
      </w:r>
      <w:proofErr w:type="spellEnd"/>
      <w:r w:rsidR="00120E76" w:rsidRPr="003F5B1F">
        <w:t xml:space="preserve">) investimento líquido </w:t>
      </w:r>
      <w:r w:rsidR="00950B25" w:rsidRPr="003F5B1F">
        <w:t xml:space="preserve">e </w:t>
      </w:r>
      <w:proofErr w:type="spellStart"/>
      <w:r w:rsidR="00950B25" w:rsidRPr="003F5B1F">
        <w:t>iv</w:t>
      </w:r>
      <w:proofErr w:type="spellEnd"/>
      <w:r w:rsidR="00950B25" w:rsidRPr="003F5B1F">
        <w:t xml:space="preserve">) investimentos. </w:t>
      </w:r>
      <w:r w:rsidR="00A86D96" w:rsidRPr="003F5B1F">
        <w:t>A</w:t>
      </w:r>
      <w:r w:rsidR="001C2520" w:rsidRPr="003F5B1F">
        <w:t xml:space="preserve">fora a </w:t>
      </w:r>
      <w:r w:rsidR="004C3AD8" w:rsidRPr="003F5B1F">
        <w:t xml:space="preserve">multiplicidade </w:t>
      </w:r>
      <w:r w:rsidR="0029186E" w:rsidRPr="003F5B1F">
        <w:t>detectada</w:t>
      </w:r>
      <w:r w:rsidR="004C3AD8" w:rsidRPr="003F5B1F">
        <w:t xml:space="preserve"> na</w:t>
      </w:r>
      <w:r w:rsidR="0029186E" w:rsidRPr="003F5B1F">
        <w:t>s</w:t>
      </w:r>
      <w:r w:rsidR="004C3AD8" w:rsidRPr="003F5B1F">
        <w:t xml:space="preserve"> nomenclatura</w:t>
      </w:r>
      <w:r w:rsidR="0029186E" w:rsidRPr="003F5B1F">
        <w:t>s</w:t>
      </w:r>
      <w:r w:rsidR="00CB705B" w:rsidRPr="003F5B1F">
        <w:t>, os números</w:t>
      </w:r>
      <w:r w:rsidR="0029186E" w:rsidRPr="003F5B1F">
        <w:t xml:space="preserve"> </w:t>
      </w:r>
      <w:r w:rsidR="00E26FDF" w:rsidRPr="003F5B1F">
        <w:t>evidenciados</w:t>
      </w:r>
      <w:r w:rsidR="0084084C" w:rsidRPr="003F5B1F">
        <w:t xml:space="preserve"> na pesquisa </w:t>
      </w:r>
      <w:r w:rsidR="00FD524B" w:rsidRPr="003F5B1F">
        <w:t xml:space="preserve">são diferentes </w:t>
      </w:r>
      <w:r w:rsidR="00481339" w:rsidRPr="003F5B1F">
        <w:t xml:space="preserve">mesmo se </w:t>
      </w:r>
      <w:r w:rsidR="004D085D" w:rsidRPr="003F5B1F">
        <w:t xml:space="preserve">os </w:t>
      </w:r>
      <w:r w:rsidR="00481339" w:rsidRPr="003F5B1F">
        <w:t xml:space="preserve">agruparmos </w:t>
      </w:r>
      <w:r w:rsidR="00A05370" w:rsidRPr="003F5B1F">
        <w:t>por esfera de governo</w:t>
      </w:r>
      <w:r w:rsidR="00481339" w:rsidRPr="003F5B1F">
        <w:t xml:space="preserve">. </w:t>
      </w:r>
      <w:r w:rsidR="00BE017A" w:rsidRPr="003F5B1F">
        <w:t xml:space="preserve">À título de </w:t>
      </w:r>
      <w:r w:rsidR="00053976">
        <w:t>ilustração</w:t>
      </w:r>
      <w:r w:rsidR="00BE017A" w:rsidRPr="003F5B1F">
        <w:t>, a União</w:t>
      </w:r>
      <w:r w:rsidR="00DA74FA" w:rsidRPr="003F5B1F">
        <w:t xml:space="preserve"> </w:t>
      </w:r>
      <w:r w:rsidR="00BE017A" w:rsidRPr="003F5B1F">
        <w:t xml:space="preserve">possui </w:t>
      </w:r>
      <w:r w:rsidR="00AB70C4" w:rsidRPr="003F5B1F">
        <w:t xml:space="preserve">duas rubricas e dois números para externar </w:t>
      </w:r>
      <w:r w:rsidR="00AF1CC8" w:rsidRPr="003F5B1F">
        <w:t xml:space="preserve">a sua despesa com pessoal, com </w:t>
      </w:r>
      <w:r w:rsidR="00364CC7" w:rsidRPr="003F5B1F">
        <w:t>especificidades</w:t>
      </w:r>
      <w:r w:rsidR="00DA74FA" w:rsidRPr="003F5B1F">
        <w:t xml:space="preserve"> </w:t>
      </w:r>
      <w:r w:rsidR="00BC4B07" w:rsidRPr="003F5B1F">
        <w:t xml:space="preserve">distintas. </w:t>
      </w:r>
      <w:r w:rsidR="00501B13" w:rsidRPr="003F5B1F">
        <w:t xml:space="preserve">Assim como estados e municípios possuem três rubricas e três números </w:t>
      </w:r>
      <w:r w:rsidR="009B3F27" w:rsidRPr="003F5B1F">
        <w:t>para tratar de investimento.</w:t>
      </w:r>
    </w:p>
    <w:p w14:paraId="4DC663D2" w14:textId="37113CAC" w:rsidR="00633C88" w:rsidRPr="003F5B1F" w:rsidRDefault="004C0487" w:rsidP="000B7B0D">
      <w:r>
        <w:t xml:space="preserve">A necessidade de </w:t>
      </w:r>
      <w:r w:rsidR="00B1611A">
        <w:t xml:space="preserve">uma maior </w:t>
      </w:r>
      <w:r w:rsidR="003E7FAD">
        <w:t>homogeneidade no tratamento das informações</w:t>
      </w:r>
      <w:r w:rsidR="00033CA3">
        <w:t xml:space="preserve"> </w:t>
      </w:r>
      <w:r w:rsidR="003248E6">
        <w:t>se</w:t>
      </w:r>
      <w:r w:rsidR="00033CA3">
        <w:t xml:space="preserve"> eviden</w:t>
      </w:r>
      <w:r w:rsidR="003248E6">
        <w:t>cia</w:t>
      </w:r>
      <w:r w:rsidR="000525C1">
        <w:t xml:space="preserve"> quando se encontra </w:t>
      </w:r>
      <w:r w:rsidR="003E4F16">
        <w:t xml:space="preserve">valores </w:t>
      </w:r>
      <w:r w:rsidR="00024CF8">
        <w:t xml:space="preserve">de RPPS sendo </w:t>
      </w:r>
      <w:r w:rsidR="009953DB">
        <w:t>computados</w:t>
      </w:r>
      <w:r w:rsidR="00024CF8">
        <w:t xml:space="preserve"> </w:t>
      </w:r>
      <w:r w:rsidR="009953DB">
        <w:t>na</w:t>
      </w:r>
      <w:r w:rsidR="002757F4">
        <w:t xml:space="preserve"> linha de</w:t>
      </w:r>
      <w:r w:rsidR="00024CF8">
        <w:t xml:space="preserve"> pessoal ativ</w:t>
      </w:r>
      <w:r w:rsidR="005C3D31">
        <w:t xml:space="preserve">o pelo </w:t>
      </w:r>
      <w:r w:rsidR="002757F4">
        <w:t xml:space="preserve">RTN, enquanto </w:t>
      </w:r>
      <w:r w:rsidR="00BC3556">
        <w:t xml:space="preserve">as Estatísticas Fiscais Trimestrais </w:t>
      </w:r>
      <w:r w:rsidR="00861E88">
        <w:t xml:space="preserve">os agregam </w:t>
      </w:r>
      <w:r w:rsidR="00423BEA">
        <w:t xml:space="preserve">à </w:t>
      </w:r>
      <w:r w:rsidR="001179AC">
        <w:t>sua denominação de “</w:t>
      </w:r>
      <w:r w:rsidR="00D21347">
        <w:t>Benef</w:t>
      </w:r>
      <w:r w:rsidR="00A07DB3">
        <w:t xml:space="preserve">ícios Sociais”, </w:t>
      </w:r>
      <w:r w:rsidR="00893A31">
        <w:t>mais</w:t>
      </w:r>
      <w:r w:rsidR="00DC14CB">
        <w:t xml:space="preserve"> </w:t>
      </w:r>
      <w:r w:rsidR="00A07DB3">
        <w:t>alinhado ao gasto previdenciário</w:t>
      </w:r>
      <w:r w:rsidR="00B04D4A">
        <w:t>.</w:t>
      </w:r>
      <w:r w:rsidR="00894DEB">
        <w:t xml:space="preserve"> </w:t>
      </w:r>
      <w:r w:rsidR="000E6C0B">
        <w:t xml:space="preserve">Em adição, </w:t>
      </w:r>
      <w:r w:rsidR="005E70F4">
        <w:t xml:space="preserve">observa-se </w:t>
      </w:r>
      <w:r w:rsidR="00CC2273">
        <w:t xml:space="preserve">que o Boletim dos Entes Subnacionais </w:t>
      </w:r>
      <w:r w:rsidR="00D85EB3">
        <w:t xml:space="preserve">utiliza conceitos </w:t>
      </w:r>
      <w:r w:rsidR="00642807">
        <w:t>distintos</w:t>
      </w:r>
      <w:r w:rsidR="008A3E42">
        <w:t>, não comp</w:t>
      </w:r>
      <w:r w:rsidR="00B1022A">
        <w:t>aráveis entre si,</w:t>
      </w:r>
      <w:r w:rsidR="00642807">
        <w:t xml:space="preserve"> para apresentar </w:t>
      </w:r>
      <w:r w:rsidR="0091787A">
        <w:t>a despesa com pessoal de</w:t>
      </w:r>
      <w:r w:rsidR="006C0F21">
        <w:t xml:space="preserve"> estados e de municípios</w:t>
      </w:r>
      <w:r w:rsidR="007578A8">
        <w:t>.</w:t>
      </w:r>
      <w:r w:rsidR="00505CA0">
        <w:t xml:space="preserve"> </w:t>
      </w:r>
      <w:r w:rsidR="007578A8">
        <w:t>A</w:t>
      </w:r>
      <w:r w:rsidR="007B78AE">
        <w:t xml:space="preserve"> mesma </w:t>
      </w:r>
      <w:r w:rsidR="002D41D9">
        <w:t>situação</w:t>
      </w:r>
      <w:r w:rsidR="00815375">
        <w:t xml:space="preserve"> </w:t>
      </w:r>
      <w:r w:rsidR="001861FD">
        <w:t>acontece</w:t>
      </w:r>
      <w:r w:rsidR="00331EB4">
        <w:t xml:space="preserve"> </w:t>
      </w:r>
      <w:r w:rsidR="00C055B6">
        <w:t xml:space="preserve">para </w:t>
      </w:r>
      <w:r w:rsidR="00122E40">
        <w:t>os dispêndios previdenciário</w:t>
      </w:r>
      <w:r w:rsidR="001D2095">
        <w:t>s</w:t>
      </w:r>
      <w:r w:rsidR="00790E70">
        <w:t>, em qu</w:t>
      </w:r>
      <w:r w:rsidR="00277691">
        <w:t xml:space="preserve">e para os estados </w:t>
      </w:r>
      <w:r w:rsidR="00B96455">
        <w:t xml:space="preserve">se exibe </w:t>
      </w:r>
      <w:r w:rsidR="00166D64">
        <w:t>apenas</w:t>
      </w:r>
      <w:r w:rsidR="00CE24D8">
        <w:t xml:space="preserve"> </w:t>
      </w:r>
      <w:r w:rsidR="00B96455">
        <w:t xml:space="preserve">o déficit </w:t>
      </w:r>
      <w:r w:rsidR="007E74DD">
        <w:t>(</w:t>
      </w:r>
      <w:r w:rsidR="00F31F3E">
        <w:t xml:space="preserve">receitas arrecadas menos as </w:t>
      </w:r>
      <w:r w:rsidR="00886C19">
        <w:t xml:space="preserve">despesas realizadas) </w:t>
      </w:r>
      <w:r w:rsidR="0063090C">
        <w:t xml:space="preserve">do ano com o RPPS </w:t>
      </w:r>
      <w:r w:rsidR="006F0CEE">
        <w:t>e, para os municípios</w:t>
      </w:r>
      <w:r w:rsidR="00FD4241">
        <w:t xml:space="preserve">, </w:t>
      </w:r>
      <w:r w:rsidR="00EE555A">
        <w:t xml:space="preserve">aponta-se o valor </w:t>
      </w:r>
      <w:r w:rsidR="00A628BB">
        <w:t xml:space="preserve">global </w:t>
      </w:r>
      <w:r w:rsidR="00F21D09">
        <w:t>do gasto com o regime próprio de previdência</w:t>
      </w:r>
      <w:r w:rsidR="008D77C8">
        <w:t xml:space="preserve"> dos servidores.</w:t>
      </w:r>
    </w:p>
    <w:p w14:paraId="1E3D197B" w14:textId="60862CD7" w:rsidR="00127B39" w:rsidRPr="003F5B1F" w:rsidRDefault="00480058" w:rsidP="000B7B0D">
      <w:r w:rsidRPr="003F5B1F">
        <w:t>À vista disso</w:t>
      </w:r>
      <w:r w:rsidR="00270EA4" w:rsidRPr="003F5B1F">
        <w:t xml:space="preserve">, </w:t>
      </w:r>
      <w:r w:rsidR="009B3F27" w:rsidRPr="003F5B1F">
        <w:t xml:space="preserve">em resposta à pergunta de pesquisa, </w:t>
      </w:r>
      <w:r w:rsidR="00447580" w:rsidRPr="003F5B1F">
        <w:t>constat</w:t>
      </w:r>
      <w:r w:rsidR="009B3F27" w:rsidRPr="003F5B1F">
        <w:t>a</w:t>
      </w:r>
      <w:r w:rsidR="00447580" w:rsidRPr="003F5B1F">
        <w:t>-se que</w:t>
      </w:r>
      <w:r w:rsidR="00447433" w:rsidRPr="003F5B1F">
        <w:t xml:space="preserve"> </w:t>
      </w:r>
      <w:r w:rsidR="009B3F27" w:rsidRPr="003F5B1F">
        <w:t>não</w:t>
      </w:r>
      <w:r w:rsidR="00CB705B" w:rsidRPr="003F5B1F">
        <w:t xml:space="preserve"> </w:t>
      </w:r>
      <w:r w:rsidR="009B3F27" w:rsidRPr="003F5B1F">
        <w:t>há uniformidade entre os números e as nomenclaturas empregadas na divulgação de dados relativos aos gastos com pessoal, com previdência e com investimento nos relatórios Boletim de Finanças dos Entes Subnacionais, Estatísticas Fiscais Trimestrais do Governo Geral e Resultado do Tesouro Nacional</w:t>
      </w:r>
      <w:r w:rsidR="0025657A" w:rsidRPr="003F5B1F">
        <w:t>.</w:t>
      </w:r>
    </w:p>
    <w:p w14:paraId="012C9789" w14:textId="64D5BC73" w:rsidR="00373021" w:rsidRPr="003F5B1F" w:rsidRDefault="00585473" w:rsidP="000B7B0D">
      <w:r w:rsidRPr="003F5B1F">
        <w:t>Desse modo, conclui-se que</w:t>
      </w:r>
      <w:r w:rsidR="00BB79D7" w:rsidRPr="003F5B1F">
        <w:t>,</w:t>
      </w:r>
      <w:r w:rsidR="00DF5844" w:rsidRPr="003F5B1F">
        <w:t xml:space="preserve"> </w:t>
      </w:r>
      <w:r w:rsidR="00202621" w:rsidRPr="003F5B1F">
        <w:t>levando em consideração</w:t>
      </w:r>
      <w:r w:rsidR="00512FF0" w:rsidRPr="003F5B1F">
        <w:t xml:space="preserve"> os apontamentos</w:t>
      </w:r>
      <w:r w:rsidR="006F00FF" w:rsidRPr="003F5B1F">
        <w:t xml:space="preserve"> da parte teórica </w:t>
      </w:r>
      <w:r w:rsidR="00886480" w:rsidRPr="003F5B1F">
        <w:t xml:space="preserve">e as observações da parte empírica </w:t>
      </w:r>
      <w:r w:rsidR="006F00FF" w:rsidRPr="003F5B1F">
        <w:t>deste trabalho</w:t>
      </w:r>
      <w:r w:rsidR="00886480" w:rsidRPr="003F5B1F">
        <w:t xml:space="preserve">, </w:t>
      </w:r>
      <w:r w:rsidR="00B337D7" w:rsidRPr="003F5B1F">
        <w:t>a complexidade</w:t>
      </w:r>
      <w:r w:rsidR="00BB79D7" w:rsidRPr="003F5B1F">
        <w:t xml:space="preserve"> </w:t>
      </w:r>
      <w:r w:rsidR="004065ED" w:rsidRPr="003F5B1F">
        <w:t xml:space="preserve">no tratamento das informações de pessoal, de previdência e de investimento </w:t>
      </w:r>
      <w:r w:rsidR="00BE6CF0" w:rsidRPr="003F5B1F">
        <w:t xml:space="preserve">prejudica </w:t>
      </w:r>
      <w:r w:rsidR="00587113" w:rsidRPr="003F5B1F">
        <w:t xml:space="preserve">a transparência dos relatórios, principalmente se a avaliação levar em consideração a exposição conjunta </w:t>
      </w:r>
      <w:r w:rsidR="00251F4A" w:rsidRPr="003F5B1F">
        <w:t xml:space="preserve">dos três documentos analisados. </w:t>
      </w:r>
      <w:r w:rsidR="00C44905" w:rsidRPr="003F5B1F">
        <w:t>Um</w:t>
      </w:r>
      <w:r w:rsidR="007F306F" w:rsidRPr="003F5B1F">
        <w:t>a</w:t>
      </w:r>
      <w:r w:rsidR="00C44905" w:rsidRPr="003F5B1F">
        <w:t xml:space="preserve"> maior exposição de </w:t>
      </w:r>
      <w:r w:rsidR="004655E9" w:rsidRPr="003F5B1F">
        <w:t xml:space="preserve">dados do governo não se traduz, </w:t>
      </w:r>
      <w:r w:rsidR="004655E9" w:rsidRPr="003F5B1F">
        <w:lastRenderedPageBreak/>
        <w:t xml:space="preserve">necessariamente, </w:t>
      </w:r>
      <w:r w:rsidR="007F306F" w:rsidRPr="003F5B1F">
        <w:t xml:space="preserve">em uma postura mais transparente do Estado. </w:t>
      </w:r>
      <w:r w:rsidR="00712AC4" w:rsidRPr="003F5B1F">
        <w:t>Assim, r</w:t>
      </w:r>
      <w:r w:rsidR="001127AD" w:rsidRPr="003F5B1F">
        <w:t xml:space="preserve">esta evidente a necessidade de </w:t>
      </w:r>
      <w:r w:rsidR="001F5488" w:rsidRPr="003F5B1F">
        <w:t>simplificar</w:t>
      </w:r>
      <w:r w:rsidR="005063D2" w:rsidRPr="003F5B1F">
        <w:t xml:space="preserve"> e </w:t>
      </w:r>
      <w:r w:rsidR="001127AD" w:rsidRPr="003F5B1F">
        <w:t xml:space="preserve">harmonizar </w:t>
      </w:r>
      <w:r w:rsidR="00632885" w:rsidRPr="003F5B1F">
        <w:t>nomenclaturas</w:t>
      </w:r>
      <w:r w:rsidR="00AD6DFB" w:rsidRPr="003F5B1F">
        <w:t xml:space="preserve">, </w:t>
      </w:r>
      <w:r w:rsidR="001F5488" w:rsidRPr="003F5B1F">
        <w:t>com o propósito</w:t>
      </w:r>
      <w:r w:rsidR="00514953" w:rsidRPr="003F5B1F">
        <w:t xml:space="preserve"> de </w:t>
      </w:r>
      <w:r w:rsidR="00CA6759" w:rsidRPr="003F5B1F">
        <w:t xml:space="preserve">direcionar a </w:t>
      </w:r>
      <w:r w:rsidR="00C670B2" w:rsidRPr="003F5B1F">
        <w:t xml:space="preserve">comunicação </w:t>
      </w:r>
      <w:r w:rsidR="002702C2" w:rsidRPr="003F5B1F">
        <w:t xml:space="preserve">em </w:t>
      </w:r>
      <w:r w:rsidR="00CA6759" w:rsidRPr="003F5B1F">
        <w:t>um</w:t>
      </w:r>
      <w:r w:rsidR="002702C2" w:rsidRPr="003F5B1F">
        <w:t xml:space="preserve"> </w:t>
      </w:r>
      <w:r w:rsidR="002A1EA9" w:rsidRPr="003F5B1F">
        <w:t xml:space="preserve">formato </w:t>
      </w:r>
      <w:r w:rsidR="00210571" w:rsidRPr="003F5B1F">
        <w:t xml:space="preserve">mais acessível, </w:t>
      </w:r>
      <w:r w:rsidR="00B95E63" w:rsidRPr="003F5B1F">
        <w:t xml:space="preserve">objetivo e útil </w:t>
      </w:r>
      <w:r w:rsidR="006B42AF" w:rsidRPr="003F5B1F">
        <w:t>à sociedade</w:t>
      </w:r>
      <w:r w:rsidR="008271F7" w:rsidRPr="003F5B1F">
        <w:t>.</w:t>
      </w:r>
    </w:p>
    <w:p w14:paraId="21700F62" w14:textId="77777777" w:rsidR="008F2C01" w:rsidRPr="003F5B1F" w:rsidRDefault="008F2C01" w:rsidP="000B7B0D"/>
    <w:p w14:paraId="12D9633A" w14:textId="6693F493" w:rsidR="00790733" w:rsidRPr="003F5B1F" w:rsidRDefault="00790733" w:rsidP="000B7B0D">
      <w:pPr>
        <w:pStyle w:val="PargrafodaLista"/>
      </w:pPr>
    </w:p>
    <w:p w14:paraId="551A9760" w14:textId="782E0DE5" w:rsidR="004E77B5" w:rsidRDefault="004E77B5" w:rsidP="000B7B0D">
      <w:pPr>
        <w:pStyle w:val="PargrafodaLista"/>
      </w:pPr>
    </w:p>
    <w:p w14:paraId="169A90F0" w14:textId="77777777" w:rsidR="00AE5BA9" w:rsidRDefault="00AE5BA9" w:rsidP="000B7B0D">
      <w:pPr>
        <w:pStyle w:val="PargrafodaLista"/>
      </w:pPr>
    </w:p>
    <w:p w14:paraId="0413B6E5" w14:textId="77777777" w:rsidR="00AE5BA9" w:rsidRDefault="00AE5BA9" w:rsidP="000B7B0D">
      <w:pPr>
        <w:pStyle w:val="PargrafodaLista"/>
      </w:pPr>
    </w:p>
    <w:p w14:paraId="00884D59" w14:textId="77777777" w:rsidR="00AE5BA9" w:rsidRDefault="00AE5BA9" w:rsidP="000B7B0D">
      <w:pPr>
        <w:pStyle w:val="PargrafodaLista"/>
      </w:pPr>
    </w:p>
    <w:p w14:paraId="516CBE82" w14:textId="77777777" w:rsidR="00AE5BA9" w:rsidRDefault="00AE5BA9" w:rsidP="000B7B0D">
      <w:pPr>
        <w:pStyle w:val="PargrafodaLista"/>
      </w:pPr>
    </w:p>
    <w:p w14:paraId="3B45BA9F" w14:textId="77777777" w:rsidR="00AE5BA9" w:rsidRDefault="00AE5BA9" w:rsidP="000B7B0D">
      <w:pPr>
        <w:pStyle w:val="PargrafodaLista"/>
      </w:pPr>
    </w:p>
    <w:p w14:paraId="345AFB6D" w14:textId="77777777" w:rsidR="00AE5BA9" w:rsidRDefault="00AE5BA9" w:rsidP="000B7B0D">
      <w:pPr>
        <w:pStyle w:val="PargrafodaLista"/>
      </w:pPr>
    </w:p>
    <w:p w14:paraId="559DBE4A" w14:textId="77777777" w:rsidR="00AE5BA9" w:rsidRDefault="00AE5BA9" w:rsidP="000B7B0D">
      <w:pPr>
        <w:pStyle w:val="PargrafodaLista"/>
      </w:pPr>
    </w:p>
    <w:p w14:paraId="72279707" w14:textId="77777777" w:rsidR="00AE5BA9" w:rsidRDefault="00AE5BA9" w:rsidP="000B7B0D">
      <w:pPr>
        <w:pStyle w:val="PargrafodaLista"/>
      </w:pPr>
    </w:p>
    <w:p w14:paraId="0A8DD146" w14:textId="77777777" w:rsidR="00AE5BA9" w:rsidRDefault="00AE5BA9" w:rsidP="000B7B0D">
      <w:pPr>
        <w:pStyle w:val="PargrafodaLista"/>
      </w:pPr>
    </w:p>
    <w:p w14:paraId="503C9520" w14:textId="77777777" w:rsidR="00AE5BA9" w:rsidRDefault="00AE5BA9" w:rsidP="000B7B0D">
      <w:pPr>
        <w:pStyle w:val="PargrafodaLista"/>
      </w:pPr>
    </w:p>
    <w:p w14:paraId="729AA048" w14:textId="77777777" w:rsidR="00AE5BA9" w:rsidRDefault="00AE5BA9" w:rsidP="000B7B0D">
      <w:pPr>
        <w:pStyle w:val="PargrafodaLista"/>
      </w:pPr>
    </w:p>
    <w:p w14:paraId="7B0C8227" w14:textId="77777777" w:rsidR="00AE5BA9" w:rsidRDefault="00AE5BA9" w:rsidP="000B7B0D">
      <w:pPr>
        <w:pStyle w:val="PargrafodaLista"/>
      </w:pPr>
    </w:p>
    <w:p w14:paraId="13317F4D" w14:textId="77777777" w:rsidR="00AE5BA9" w:rsidRDefault="00AE5BA9" w:rsidP="000B7B0D">
      <w:pPr>
        <w:pStyle w:val="PargrafodaLista"/>
      </w:pPr>
    </w:p>
    <w:p w14:paraId="6901944D" w14:textId="77777777" w:rsidR="00AE5BA9" w:rsidRDefault="00AE5BA9" w:rsidP="000B7B0D">
      <w:pPr>
        <w:pStyle w:val="PargrafodaLista"/>
      </w:pPr>
    </w:p>
    <w:p w14:paraId="1E293AF9" w14:textId="77777777" w:rsidR="00AE5BA9" w:rsidRDefault="00AE5BA9" w:rsidP="000B7B0D">
      <w:pPr>
        <w:pStyle w:val="PargrafodaLista"/>
      </w:pPr>
    </w:p>
    <w:p w14:paraId="4F3D29A1" w14:textId="77777777" w:rsidR="00AE5BA9" w:rsidRDefault="00AE5BA9" w:rsidP="000B7B0D">
      <w:pPr>
        <w:pStyle w:val="PargrafodaLista"/>
      </w:pPr>
    </w:p>
    <w:p w14:paraId="6CD409D2" w14:textId="77777777" w:rsidR="00AE5BA9" w:rsidRDefault="00AE5BA9" w:rsidP="000B7B0D">
      <w:pPr>
        <w:pStyle w:val="PargrafodaLista"/>
      </w:pPr>
    </w:p>
    <w:p w14:paraId="440A0CA1" w14:textId="77777777" w:rsidR="00AE5BA9" w:rsidRDefault="00AE5BA9" w:rsidP="000B7B0D">
      <w:pPr>
        <w:pStyle w:val="PargrafodaLista"/>
      </w:pPr>
    </w:p>
    <w:p w14:paraId="40243D86" w14:textId="77777777" w:rsidR="00AE5BA9" w:rsidRDefault="00AE5BA9" w:rsidP="000B7B0D">
      <w:pPr>
        <w:pStyle w:val="PargrafodaLista"/>
      </w:pPr>
    </w:p>
    <w:p w14:paraId="78B488D3" w14:textId="77777777" w:rsidR="00AE5BA9" w:rsidRDefault="00AE5BA9" w:rsidP="000B7B0D">
      <w:pPr>
        <w:pStyle w:val="PargrafodaLista"/>
      </w:pPr>
    </w:p>
    <w:p w14:paraId="1D0413A7" w14:textId="77777777" w:rsidR="00AE5BA9" w:rsidRDefault="00AE5BA9" w:rsidP="000B7B0D">
      <w:pPr>
        <w:pStyle w:val="PargrafodaLista"/>
      </w:pPr>
    </w:p>
    <w:p w14:paraId="0D5143EE" w14:textId="77777777" w:rsidR="00AE5BA9" w:rsidRDefault="00AE5BA9" w:rsidP="000B7B0D">
      <w:pPr>
        <w:pStyle w:val="PargrafodaLista"/>
      </w:pPr>
    </w:p>
    <w:p w14:paraId="19B58E49" w14:textId="77777777" w:rsidR="00AE5BA9" w:rsidRDefault="00AE5BA9" w:rsidP="000B7B0D">
      <w:pPr>
        <w:pStyle w:val="PargrafodaLista"/>
      </w:pPr>
    </w:p>
    <w:p w14:paraId="2157DD90" w14:textId="77777777" w:rsidR="00AE5BA9" w:rsidRPr="003F5B1F" w:rsidRDefault="00AE5BA9" w:rsidP="000B7B0D">
      <w:pPr>
        <w:pStyle w:val="PargrafodaLista"/>
      </w:pPr>
    </w:p>
    <w:p w14:paraId="19D80A19" w14:textId="100816F5" w:rsidR="004E77B5" w:rsidRPr="003F5B1F" w:rsidRDefault="004E77B5" w:rsidP="000B7B0D">
      <w:pPr>
        <w:pStyle w:val="PargrafodaLista"/>
      </w:pPr>
    </w:p>
    <w:p w14:paraId="141EEE75" w14:textId="77777777" w:rsidR="00E5408C" w:rsidRDefault="00E5408C" w:rsidP="00E04448">
      <w:pPr>
        <w:pStyle w:val="Ttulo1"/>
      </w:pPr>
    </w:p>
    <w:p w14:paraId="290AF809" w14:textId="77777777" w:rsidR="00E5408C" w:rsidRDefault="00E5408C" w:rsidP="00E04448">
      <w:pPr>
        <w:pStyle w:val="Ttulo1"/>
      </w:pPr>
    </w:p>
    <w:p w14:paraId="2B64B712" w14:textId="01AEC6BD" w:rsidR="005B7A38" w:rsidRDefault="003E4750" w:rsidP="00E04448">
      <w:pPr>
        <w:pStyle w:val="Ttulo1"/>
      </w:pPr>
      <w:bookmarkStart w:id="83" w:name="_Toc16087715"/>
      <w:r>
        <w:lastRenderedPageBreak/>
        <w:t>7</w:t>
      </w:r>
      <w:r w:rsidR="00B25883">
        <w:t>.</w:t>
      </w:r>
      <w:r w:rsidR="00D74528" w:rsidRPr="003F5B1F">
        <w:t xml:space="preserve"> REFERÊNCIAS BIBLIOGRÁFICAS</w:t>
      </w:r>
      <w:bookmarkStart w:id="84" w:name="_GoBack"/>
      <w:bookmarkEnd w:id="83"/>
      <w:bookmarkEnd w:id="84"/>
    </w:p>
    <w:p w14:paraId="6DD8F8A9" w14:textId="77777777" w:rsidR="000F3508" w:rsidRPr="000F3508" w:rsidRDefault="000F3508" w:rsidP="000F3508"/>
    <w:p w14:paraId="4A9AC91D" w14:textId="5CE97A71" w:rsidR="006C13B7" w:rsidRPr="0075408C" w:rsidRDefault="006C13B7" w:rsidP="006C13B7">
      <w:pPr>
        <w:ind w:firstLine="0"/>
        <w:jc w:val="left"/>
        <w:rPr>
          <w:color w:val="auto"/>
        </w:rPr>
      </w:pPr>
      <w:r w:rsidRPr="0075408C">
        <w:rPr>
          <w:color w:val="auto"/>
        </w:rPr>
        <w:t xml:space="preserve">AMORIM, P.K.; ALMADA, M.P. E-Transparência: proposta de modelo metodológico para a avaliação de portais de executivos nacionais. </w:t>
      </w:r>
      <w:r w:rsidR="00F84503" w:rsidRPr="0075408C">
        <w:rPr>
          <w:color w:val="auto"/>
        </w:rPr>
        <w:t xml:space="preserve">Trabalho apresentado </w:t>
      </w:r>
      <w:r w:rsidR="00476C79" w:rsidRPr="0075408C">
        <w:rPr>
          <w:color w:val="auto"/>
        </w:rPr>
        <w:t>ao GT de Ciberpolítica, ciberativismo e cibercultura, no 38º Encontro Anual da ANPOCS. Caxambu, Minas Gerais, 2014.</w:t>
      </w:r>
    </w:p>
    <w:p w14:paraId="5CF81798" w14:textId="77777777" w:rsidR="0089573F" w:rsidRPr="0075408C" w:rsidRDefault="0089573F" w:rsidP="0089573F">
      <w:pPr>
        <w:ind w:firstLine="0"/>
        <w:jc w:val="left"/>
        <w:rPr>
          <w:color w:val="auto"/>
        </w:rPr>
      </w:pPr>
      <w:r w:rsidRPr="0075408C">
        <w:rPr>
          <w:color w:val="auto"/>
        </w:rPr>
        <w:t>AMORIM, P. K.; GOMES, W. O estado da transparência digital das capitais brasileiras: um estudo sobre e-transparência fiscal. In: Anais do V Congresso Anual da Associação Brasileira de Pesquisadores de Comunicação e Política. Curitiba, Universidade Federal do Paraná, 2013.</w:t>
      </w:r>
    </w:p>
    <w:p w14:paraId="1406A5BE" w14:textId="77777777" w:rsidR="00ED7001" w:rsidRPr="0075408C" w:rsidRDefault="00ED7001" w:rsidP="00ED7001">
      <w:pPr>
        <w:ind w:firstLine="0"/>
        <w:jc w:val="left"/>
        <w:rPr>
          <w:color w:val="auto"/>
        </w:rPr>
      </w:pPr>
      <w:r w:rsidRPr="0075408C">
        <w:rPr>
          <w:color w:val="auto"/>
        </w:rPr>
        <w:t>BLOCH, J. L. Orçamento Público Brasileiro: A Tecnologia da Informação e Comunicação como ferramenta de Transparência e Publicação do Orçamento-Cidadão. Dissertação (Mestrado Profissional em Gestão de Finanças Públicas) – Universidade de Brasília, Brasília, 2013.</w:t>
      </w:r>
    </w:p>
    <w:p w14:paraId="49B73386" w14:textId="23E275C7" w:rsidR="00EC331A" w:rsidRPr="0075408C" w:rsidRDefault="00EC331A" w:rsidP="00EC331A">
      <w:pPr>
        <w:ind w:firstLine="0"/>
        <w:jc w:val="left"/>
        <w:rPr>
          <w:color w:val="auto"/>
        </w:rPr>
      </w:pPr>
      <w:r w:rsidRPr="0075408C">
        <w:rPr>
          <w:color w:val="auto"/>
        </w:rPr>
        <w:t>BOBBIO, N. Teoria Geral da Política: a filosofia política e a lição dos clássicos. Rio de Janeiro: campus Editora</w:t>
      </w:r>
      <w:r w:rsidR="008A2D4D" w:rsidRPr="0075408C">
        <w:rPr>
          <w:color w:val="auto"/>
        </w:rPr>
        <w:t>,</w:t>
      </w:r>
      <w:r w:rsidRPr="0075408C">
        <w:rPr>
          <w:color w:val="auto"/>
        </w:rPr>
        <w:t xml:space="preserve"> 2000.</w:t>
      </w:r>
    </w:p>
    <w:p w14:paraId="14406929" w14:textId="770C14F7" w:rsidR="00EC331A" w:rsidRPr="0075408C" w:rsidRDefault="00EC331A" w:rsidP="00EC331A">
      <w:pPr>
        <w:ind w:firstLine="0"/>
        <w:jc w:val="left"/>
        <w:rPr>
          <w:color w:val="auto"/>
        </w:rPr>
      </w:pPr>
      <w:r w:rsidRPr="0075408C">
        <w:rPr>
          <w:color w:val="auto"/>
        </w:rPr>
        <w:t xml:space="preserve">BIRKINSHAW, P. </w:t>
      </w:r>
      <w:proofErr w:type="spellStart"/>
      <w:r w:rsidRPr="0075408C">
        <w:rPr>
          <w:color w:val="auto"/>
        </w:rPr>
        <w:t>Transparency</w:t>
      </w:r>
      <w:proofErr w:type="spellEnd"/>
      <w:r w:rsidRPr="0075408C">
        <w:rPr>
          <w:color w:val="auto"/>
        </w:rPr>
        <w:t xml:space="preserve"> as a </w:t>
      </w:r>
      <w:proofErr w:type="spellStart"/>
      <w:r w:rsidRPr="0075408C">
        <w:rPr>
          <w:color w:val="auto"/>
        </w:rPr>
        <w:t>human</w:t>
      </w:r>
      <w:proofErr w:type="spellEnd"/>
      <w:r w:rsidRPr="0075408C">
        <w:rPr>
          <w:color w:val="auto"/>
        </w:rPr>
        <w:t xml:space="preserve"> </w:t>
      </w:r>
      <w:proofErr w:type="spellStart"/>
      <w:r w:rsidRPr="0075408C">
        <w:rPr>
          <w:color w:val="auto"/>
        </w:rPr>
        <w:t>right</w:t>
      </w:r>
      <w:proofErr w:type="spellEnd"/>
      <w:r w:rsidRPr="0075408C">
        <w:rPr>
          <w:color w:val="auto"/>
        </w:rPr>
        <w:t>. In: HOOD, C.; HEALD, D. (</w:t>
      </w:r>
      <w:proofErr w:type="spellStart"/>
      <w:r w:rsidRPr="0075408C">
        <w:rPr>
          <w:color w:val="auto"/>
        </w:rPr>
        <w:t>org</w:t>
      </w:r>
      <w:proofErr w:type="spellEnd"/>
      <w:r w:rsidRPr="0075408C">
        <w:rPr>
          <w:color w:val="auto"/>
        </w:rPr>
        <w:t xml:space="preserve">). </w:t>
      </w:r>
      <w:proofErr w:type="spellStart"/>
      <w:r w:rsidRPr="0075408C">
        <w:rPr>
          <w:iCs/>
          <w:color w:val="auto"/>
        </w:rPr>
        <w:t>Transparency</w:t>
      </w:r>
      <w:proofErr w:type="spellEnd"/>
      <w:r w:rsidRPr="0075408C">
        <w:rPr>
          <w:color w:val="auto"/>
        </w:rPr>
        <w:t xml:space="preserve">: </w:t>
      </w:r>
      <w:proofErr w:type="spellStart"/>
      <w:r w:rsidRPr="0075408C">
        <w:rPr>
          <w:color w:val="auto"/>
        </w:rPr>
        <w:t>the</w:t>
      </w:r>
      <w:proofErr w:type="spellEnd"/>
      <w:r w:rsidRPr="0075408C">
        <w:rPr>
          <w:color w:val="auto"/>
        </w:rPr>
        <w:t xml:space="preserve"> </w:t>
      </w:r>
      <w:proofErr w:type="spellStart"/>
      <w:r w:rsidRPr="0075408C">
        <w:rPr>
          <w:color w:val="auto"/>
        </w:rPr>
        <w:t>key</w:t>
      </w:r>
      <w:proofErr w:type="spellEnd"/>
      <w:r w:rsidRPr="0075408C">
        <w:rPr>
          <w:color w:val="auto"/>
        </w:rPr>
        <w:t xml:space="preserve"> </w:t>
      </w:r>
      <w:proofErr w:type="spellStart"/>
      <w:r w:rsidRPr="0075408C">
        <w:rPr>
          <w:color w:val="auto"/>
        </w:rPr>
        <w:t>to</w:t>
      </w:r>
      <w:proofErr w:type="spellEnd"/>
      <w:r w:rsidRPr="0075408C">
        <w:rPr>
          <w:color w:val="auto"/>
        </w:rPr>
        <w:t xml:space="preserve"> </w:t>
      </w:r>
      <w:proofErr w:type="spellStart"/>
      <w:r w:rsidRPr="0075408C">
        <w:rPr>
          <w:color w:val="auto"/>
        </w:rPr>
        <w:t>better</w:t>
      </w:r>
      <w:proofErr w:type="spellEnd"/>
      <w:r w:rsidRPr="0075408C">
        <w:rPr>
          <w:color w:val="auto"/>
        </w:rPr>
        <w:t xml:space="preserve"> </w:t>
      </w:r>
      <w:proofErr w:type="spellStart"/>
      <w:proofErr w:type="gramStart"/>
      <w:r w:rsidRPr="0075408C">
        <w:rPr>
          <w:color w:val="auto"/>
        </w:rPr>
        <w:t>governance</w:t>
      </w:r>
      <w:proofErr w:type="spellEnd"/>
      <w:r w:rsidRPr="0075408C">
        <w:rPr>
          <w:color w:val="auto"/>
        </w:rPr>
        <w:t>?</w:t>
      </w:r>
      <w:r w:rsidR="00AA18D3" w:rsidRPr="0075408C">
        <w:rPr>
          <w:color w:val="auto"/>
        </w:rPr>
        <w:t>,</w:t>
      </w:r>
      <w:proofErr w:type="gramEnd"/>
      <w:r w:rsidR="00AA18D3" w:rsidRPr="0075408C">
        <w:rPr>
          <w:color w:val="auto"/>
        </w:rPr>
        <w:t xml:space="preserve"> pp.47-57.</w:t>
      </w:r>
      <w:r w:rsidRPr="0075408C">
        <w:rPr>
          <w:color w:val="auto"/>
        </w:rPr>
        <w:t xml:space="preserve"> Nova York: Oxford </w:t>
      </w:r>
      <w:proofErr w:type="spellStart"/>
      <w:r w:rsidRPr="0075408C">
        <w:rPr>
          <w:color w:val="auto"/>
        </w:rPr>
        <w:t>University</w:t>
      </w:r>
      <w:proofErr w:type="spellEnd"/>
      <w:r w:rsidRPr="0075408C">
        <w:rPr>
          <w:color w:val="auto"/>
        </w:rPr>
        <w:t xml:space="preserve"> Press, 2006.</w:t>
      </w:r>
    </w:p>
    <w:p w14:paraId="6B0B1F88" w14:textId="15F513D4" w:rsidR="00ED7001" w:rsidRPr="0075408C" w:rsidRDefault="00ED7001" w:rsidP="00D90C56">
      <w:pPr>
        <w:ind w:firstLine="0"/>
        <w:jc w:val="left"/>
        <w:rPr>
          <w:color w:val="auto"/>
        </w:rPr>
      </w:pPr>
      <w:r w:rsidRPr="0075408C">
        <w:rPr>
          <w:color w:val="auto"/>
        </w:rPr>
        <w:t xml:space="preserve">BRASIL. </w:t>
      </w:r>
      <w:r w:rsidRPr="0075408C">
        <w:rPr>
          <w:iCs/>
          <w:color w:val="auto"/>
        </w:rPr>
        <w:t>Constituição da República Federativa do Brasil de 1988.</w:t>
      </w:r>
      <w:r w:rsidRPr="0075408C">
        <w:rPr>
          <w:color w:val="auto"/>
        </w:rPr>
        <w:t xml:space="preserve"> Brasília: Presidência da República. Disponível em: &lt;http://www.planalto.gov.br/ccivil_03/constituicao/constituicao.htm&gt;. Acesso em: 7 jul. 2019.</w:t>
      </w:r>
    </w:p>
    <w:p w14:paraId="1DA51869" w14:textId="6E5ADA31" w:rsidR="005E6241" w:rsidRPr="0075408C" w:rsidRDefault="005E6241" w:rsidP="00E757B4">
      <w:pPr>
        <w:ind w:firstLine="0"/>
        <w:jc w:val="left"/>
        <w:rPr>
          <w:color w:val="auto"/>
        </w:rPr>
      </w:pPr>
      <w:r w:rsidRPr="0075408C">
        <w:rPr>
          <w:color w:val="auto"/>
        </w:rPr>
        <w:t xml:space="preserve">_______. </w:t>
      </w:r>
      <w:r w:rsidRPr="0075408C">
        <w:rPr>
          <w:iCs/>
          <w:color w:val="auto"/>
        </w:rPr>
        <w:t xml:space="preserve">Lei complementar nº 101 </w:t>
      </w:r>
      <w:r w:rsidRPr="0075408C">
        <w:rPr>
          <w:color w:val="auto"/>
        </w:rPr>
        <w:t>(de 04 de maio de 2000). Brasília: Presidência da República. Disponível em: &lt;http://www.planalto.gov.br/ccivil_03/leis/LCP/Lcp101.htm&gt;. Acesso em: 2 jun. 2019.</w:t>
      </w:r>
    </w:p>
    <w:p w14:paraId="51E27B7A" w14:textId="42E1FA87" w:rsidR="009065D7" w:rsidRPr="0075408C" w:rsidRDefault="001A3A20" w:rsidP="009065D7">
      <w:pPr>
        <w:ind w:firstLine="0"/>
        <w:jc w:val="left"/>
        <w:rPr>
          <w:color w:val="auto"/>
        </w:rPr>
      </w:pPr>
      <w:r w:rsidRPr="0075408C">
        <w:rPr>
          <w:color w:val="auto"/>
        </w:rPr>
        <w:t>_______</w:t>
      </w:r>
      <w:r w:rsidR="00E757B4" w:rsidRPr="0075408C">
        <w:rPr>
          <w:color w:val="auto"/>
        </w:rPr>
        <w:t xml:space="preserve">. </w:t>
      </w:r>
      <w:r w:rsidR="009065D7" w:rsidRPr="0075408C">
        <w:rPr>
          <w:iCs/>
          <w:color w:val="auto"/>
        </w:rPr>
        <w:t>Lei complementar nº 1</w:t>
      </w:r>
      <w:r w:rsidR="009065D7">
        <w:rPr>
          <w:iCs/>
          <w:color w:val="auto"/>
        </w:rPr>
        <w:t>56</w:t>
      </w:r>
      <w:r w:rsidR="009065D7" w:rsidRPr="0075408C">
        <w:rPr>
          <w:iCs/>
          <w:color w:val="auto"/>
        </w:rPr>
        <w:t xml:space="preserve"> </w:t>
      </w:r>
      <w:r w:rsidR="009065D7" w:rsidRPr="0075408C">
        <w:rPr>
          <w:color w:val="auto"/>
        </w:rPr>
        <w:t xml:space="preserve">(de </w:t>
      </w:r>
      <w:r w:rsidR="00C44F0E">
        <w:rPr>
          <w:color w:val="auto"/>
        </w:rPr>
        <w:t>28</w:t>
      </w:r>
      <w:r w:rsidR="009065D7" w:rsidRPr="0075408C">
        <w:rPr>
          <w:color w:val="auto"/>
        </w:rPr>
        <w:t xml:space="preserve"> de </w:t>
      </w:r>
      <w:r w:rsidR="00C44F0E">
        <w:rPr>
          <w:color w:val="auto"/>
        </w:rPr>
        <w:t>dezembro</w:t>
      </w:r>
      <w:r w:rsidR="009065D7" w:rsidRPr="0075408C">
        <w:rPr>
          <w:color w:val="auto"/>
        </w:rPr>
        <w:t xml:space="preserve"> de 20</w:t>
      </w:r>
      <w:r w:rsidR="00C44F0E">
        <w:rPr>
          <w:color w:val="auto"/>
        </w:rPr>
        <w:t>16</w:t>
      </w:r>
      <w:r w:rsidR="009065D7" w:rsidRPr="0075408C">
        <w:rPr>
          <w:color w:val="auto"/>
        </w:rPr>
        <w:t>). Brasília: Presidência da República. Disponível em: &lt;</w:t>
      </w:r>
      <w:r w:rsidR="00C44F0E" w:rsidRPr="00C44F0E">
        <w:rPr>
          <w:color w:val="auto"/>
        </w:rPr>
        <w:t>http://www.planalto.gov.br/ccivil_03/leis/</w:t>
      </w:r>
      <w:proofErr w:type="spellStart"/>
      <w:r w:rsidR="00C44F0E" w:rsidRPr="00C44F0E">
        <w:rPr>
          <w:color w:val="auto"/>
        </w:rPr>
        <w:t>lcp</w:t>
      </w:r>
      <w:proofErr w:type="spellEnd"/>
      <w:r w:rsidR="00C44F0E" w:rsidRPr="00C44F0E">
        <w:rPr>
          <w:color w:val="auto"/>
        </w:rPr>
        <w:t>/Lcp156.htm</w:t>
      </w:r>
      <w:r w:rsidR="009065D7" w:rsidRPr="0075408C">
        <w:rPr>
          <w:color w:val="auto"/>
        </w:rPr>
        <w:t>&gt;. Acesso em: 2 jun. 2019.</w:t>
      </w:r>
    </w:p>
    <w:p w14:paraId="66B6018F" w14:textId="22280C8D" w:rsidR="00E757B4" w:rsidRPr="0075408C" w:rsidRDefault="001A3A20" w:rsidP="00E757B4">
      <w:pPr>
        <w:ind w:firstLine="0"/>
        <w:jc w:val="left"/>
        <w:rPr>
          <w:color w:val="auto"/>
        </w:rPr>
      </w:pPr>
      <w:r w:rsidRPr="0075408C">
        <w:rPr>
          <w:color w:val="auto"/>
        </w:rPr>
        <w:t>_______</w:t>
      </w:r>
      <w:r w:rsidR="00E757B4" w:rsidRPr="0075408C">
        <w:rPr>
          <w:color w:val="auto"/>
        </w:rPr>
        <w:t xml:space="preserve">. Lei nº 4.320 (de 17 </w:t>
      </w:r>
      <w:r w:rsidR="00231480">
        <w:rPr>
          <w:color w:val="auto"/>
        </w:rPr>
        <w:t xml:space="preserve">de </w:t>
      </w:r>
      <w:r w:rsidR="00E757B4" w:rsidRPr="0075408C">
        <w:rPr>
          <w:color w:val="auto"/>
        </w:rPr>
        <w:t>maio de 1964). Brasília: Presidência da República. Disponível em: &lt;http://www.planalto.gov.br/ccivil_03/leis/l4320.htm&gt;. Acesso em: 7 jul. 2019.</w:t>
      </w:r>
    </w:p>
    <w:p w14:paraId="1CA2AA3F" w14:textId="162DEFEC" w:rsidR="00944D55" w:rsidRPr="0075408C" w:rsidRDefault="00944D55" w:rsidP="00944D55">
      <w:pPr>
        <w:ind w:firstLine="0"/>
        <w:jc w:val="left"/>
        <w:rPr>
          <w:color w:val="auto"/>
        </w:rPr>
      </w:pPr>
      <w:r w:rsidRPr="0075408C">
        <w:rPr>
          <w:color w:val="auto"/>
        </w:rPr>
        <w:lastRenderedPageBreak/>
        <w:t xml:space="preserve">_______. Lei nº </w:t>
      </w:r>
      <w:r>
        <w:rPr>
          <w:color w:val="auto"/>
        </w:rPr>
        <w:t>9</w:t>
      </w:r>
      <w:r w:rsidRPr="0075408C">
        <w:rPr>
          <w:color w:val="auto"/>
        </w:rPr>
        <w:t>.</w:t>
      </w:r>
      <w:r>
        <w:rPr>
          <w:color w:val="auto"/>
        </w:rPr>
        <w:t>496</w:t>
      </w:r>
      <w:r w:rsidRPr="0075408C">
        <w:rPr>
          <w:color w:val="auto"/>
        </w:rPr>
        <w:t xml:space="preserve"> (de </w:t>
      </w:r>
      <w:r>
        <w:rPr>
          <w:color w:val="auto"/>
        </w:rPr>
        <w:t>11 de</w:t>
      </w:r>
      <w:r w:rsidR="00231480">
        <w:rPr>
          <w:color w:val="auto"/>
        </w:rPr>
        <w:t xml:space="preserve"> setembro</w:t>
      </w:r>
      <w:r w:rsidRPr="0075408C">
        <w:rPr>
          <w:color w:val="auto"/>
        </w:rPr>
        <w:t xml:space="preserve"> de 19</w:t>
      </w:r>
      <w:r w:rsidR="00231480">
        <w:rPr>
          <w:color w:val="auto"/>
        </w:rPr>
        <w:t>97</w:t>
      </w:r>
      <w:r w:rsidRPr="0075408C">
        <w:rPr>
          <w:color w:val="auto"/>
        </w:rPr>
        <w:t>). Brasília: Presidência da República. Disponível em: &lt;</w:t>
      </w:r>
      <w:r w:rsidR="00231480" w:rsidRPr="00231480">
        <w:rPr>
          <w:color w:val="auto"/>
        </w:rPr>
        <w:t>http://www.planalto.gov.br/ccivil_03/leis/L9496.htm</w:t>
      </w:r>
      <w:r w:rsidRPr="0075408C">
        <w:rPr>
          <w:color w:val="auto"/>
        </w:rPr>
        <w:t>&gt;. Acesso em: 7 jul. 2019.</w:t>
      </w:r>
    </w:p>
    <w:p w14:paraId="41336FD8" w14:textId="7F887880" w:rsidR="00E757B4" w:rsidRPr="0075408C" w:rsidRDefault="001A3A20" w:rsidP="00E757B4">
      <w:pPr>
        <w:ind w:firstLine="0"/>
        <w:jc w:val="left"/>
        <w:rPr>
          <w:color w:val="auto"/>
        </w:rPr>
      </w:pPr>
      <w:r w:rsidRPr="0075408C">
        <w:rPr>
          <w:color w:val="auto"/>
        </w:rPr>
        <w:t>_______</w:t>
      </w:r>
      <w:r w:rsidR="00E757B4" w:rsidRPr="0075408C">
        <w:rPr>
          <w:color w:val="auto"/>
        </w:rPr>
        <w:t xml:space="preserve">. </w:t>
      </w:r>
      <w:r w:rsidR="00E757B4" w:rsidRPr="0075408C">
        <w:rPr>
          <w:iCs/>
          <w:color w:val="auto"/>
        </w:rPr>
        <w:t xml:space="preserve">Lei nº 12.527 </w:t>
      </w:r>
      <w:r w:rsidR="00E757B4" w:rsidRPr="0075408C">
        <w:rPr>
          <w:color w:val="auto"/>
        </w:rPr>
        <w:t>(de 18 de novembro de 2011). Brasília: Presidência da República. Disponível em: &lt;http://www.planalto.gov.br/ccivil_03/_ato2011-2014/2011/lei/l12527.htm&gt;. Acesso em: 7 jul. 2019.</w:t>
      </w:r>
    </w:p>
    <w:p w14:paraId="46F3D736" w14:textId="4E1A2116" w:rsidR="00623066" w:rsidRPr="0075408C" w:rsidRDefault="00623066" w:rsidP="00623066">
      <w:pPr>
        <w:ind w:firstLine="0"/>
        <w:jc w:val="left"/>
        <w:rPr>
          <w:color w:val="auto"/>
        </w:rPr>
      </w:pPr>
      <w:r w:rsidRPr="0075408C">
        <w:rPr>
          <w:color w:val="auto"/>
        </w:rPr>
        <w:t>_______. Ministério da Economia. Estatísticas de Finanças Públicas e Conta Intermediária de Governo. 2017. Disponível em: https://cdn.tesouro.gov.br/sistemas-internos/apex/producao/sistemas/thot/arquivos/publicacoes/29754_999650/anexos/5561_241886/EFP_CIG_2017_Notas_T%C3%A9cnicas.pdf?v=9045. Acesso em: 7 jul. 2019.</w:t>
      </w:r>
    </w:p>
    <w:p w14:paraId="42FFB60E" w14:textId="76F02C57" w:rsidR="003E6116" w:rsidRPr="0075408C" w:rsidRDefault="003E6116" w:rsidP="003E6116">
      <w:pPr>
        <w:ind w:firstLine="0"/>
        <w:jc w:val="left"/>
        <w:rPr>
          <w:color w:val="auto"/>
        </w:rPr>
      </w:pPr>
      <w:r w:rsidRPr="0075408C">
        <w:rPr>
          <w:color w:val="auto"/>
        </w:rPr>
        <w:t xml:space="preserve">BUCKLAND, M. </w:t>
      </w:r>
      <w:proofErr w:type="spellStart"/>
      <w:r w:rsidRPr="0075408C">
        <w:rPr>
          <w:color w:val="auto"/>
        </w:rPr>
        <w:t>Information</w:t>
      </w:r>
      <w:proofErr w:type="spellEnd"/>
      <w:r w:rsidRPr="0075408C">
        <w:rPr>
          <w:color w:val="auto"/>
        </w:rPr>
        <w:t xml:space="preserve"> </w:t>
      </w:r>
      <w:proofErr w:type="spellStart"/>
      <w:r w:rsidRPr="0075408C">
        <w:rPr>
          <w:color w:val="auto"/>
        </w:rPr>
        <w:t>and</w:t>
      </w:r>
      <w:proofErr w:type="spellEnd"/>
      <w:r w:rsidRPr="0075408C">
        <w:rPr>
          <w:color w:val="auto"/>
        </w:rPr>
        <w:t xml:space="preserve"> </w:t>
      </w:r>
      <w:proofErr w:type="spellStart"/>
      <w:r w:rsidRPr="0075408C">
        <w:rPr>
          <w:color w:val="auto"/>
        </w:rPr>
        <w:t>information</w:t>
      </w:r>
      <w:proofErr w:type="spellEnd"/>
      <w:r w:rsidRPr="0075408C">
        <w:rPr>
          <w:color w:val="auto"/>
        </w:rPr>
        <w:t xml:space="preserve"> systems. </w:t>
      </w:r>
      <w:proofErr w:type="spellStart"/>
      <w:r w:rsidRPr="0075408C">
        <w:rPr>
          <w:color w:val="auto"/>
        </w:rPr>
        <w:t>Greenwood</w:t>
      </w:r>
      <w:proofErr w:type="spellEnd"/>
      <w:r w:rsidRPr="0075408C">
        <w:rPr>
          <w:color w:val="auto"/>
        </w:rPr>
        <w:t xml:space="preserve"> </w:t>
      </w:r>
      <w:proofErr w:type="spellStart"/>
      <w:r w:rsidRPr="0075408C">
        <w:rPr>
          <w:color w:val="auto"/>
        </w:rPr>
        <w:t>Publishing</w:t>
      </w:r>
      <w:proofErr w:type="spellEnd"/>
      <w:r w:rsidRPr="0075408C">
        <w:rPr>
          <w:color w:val="auto"/>
        </w:rPr>
        <w:t xml:space="preserve"> </w:t>
      </w:r>
      <w:proofErr w:type="spellStart"/>
      <w:r w:rsidRPr="0075408C">
        <w:rPr>
          <w:color w:val="auto"/>
        </w:rPr>
        <w:t>Group</w:t>
      </w:r>
      <w:proofErr w:type="spellEnd"/>
      <w:r w:rsidRPr="0075408C">
        <w:rPr>
          <w:color w:val="auto"/>
        </w:rPr>
        <w:t xml:space="preserve">, </w:t>
      </w:r>
      <w:proofErr w:type="spellStart"/>
      <w:r w:rsidRPr="0075408C">
        <w:rPr>
          <w:color w:val="auto"/>
        </w:rPr>
        <w:t>Westport</w:t>
      </w:r>
      <w:proofErr w:type="spellEnd"/>
      <w:r w:rsidRPr="0075408C">
        <w:rPr>
          <w:color w:val="auto"/>
        </w:rPr>
        <w:t>. 1991</w:t>
      </w:r>
      <w:r w:rsidR="006A1880" w:rsidRPr="0075408C">
        <w:rPr>
          <w:color w:val="auto"/>
        </w:rPr>
        <w:t>.</w:t>
      </w:r>
    </w:p>
    <w:p w14:paraId="66F81CE9" w14:textId="77777777" w:rsidR="003E6116" w:rsidRPr="0075408C" w:rsidRDefault="003E6116" w:rsidP="003E6116">
      <w:pPr>
        <w:pStyle w:val="Bibliografia"/>
        <w:spacing w:after="0" w:line="360" w:lineRule="auto"/>
        <w:ind w:firstLine="0"/>
        <w:jc w:val="left"/>
        <w:rPr>
          <w:color w:val="auto"/>
        </w:rPr>
      </w:pPr>
      <w:r w:rsidRPr="0075408C">
        <w:rPr>
          <w:noProof/>
          <w:color w:val="auto"/>
        </w:rPr>
        <w:t xml:space="preserve">CANUTO, O.; LIU, L. </w:t>
      </w:r>
      <w:r w:rsidRPr="0075408C">
        <w:rPr>
          <w:noProof/>
          <w:color w:val="auto"/>
          <w:lang w:val="en-US"/>
        </w:rPr>
        <w:t>Until Debt Do Us Part: Subnational Debt, Insolvency, and Markets. Washington: World Bank, 2013.</w:t>
      </w:r>
    </w:p>
    <w:p w14:paraId="577A1114" w14:textId="54BDF181" w:rsidR="003E6116" w:rsidRPr="0075408C" w:rsidRDefault="003E6116" w:rsidP="003E6116">
      <w:pPr>
        <w:ind w:firstLine="0"/>
        <w:jc w:val="left"/>
        <w:rPr>
          <w:color w:val="auto"/>
        </w:rPr>
      </w:pPr>
      <w:r w:rsidRPr="0075408C">
        <w:rPr>
          <w:color w:val="auto"/>
        </w:rPr>
        <w:t>CAPURRO, R.; HJORLAND, B. O conceito de informação. In: Perspectivas em Ciência da Informação, v. 12, n.1, p</w:t>
      </w:r>
      <w:r w:rsidR="00BD13A3" w:rsidRPr="0075408C">
        <w:rPr>
          <w:color w:val="auto"/>
        </w:rPr>
        <w:t>p</w:t>
      </w:r>
      <w:r w:rsidRPr="0075408C">
        <w:rPr>
          <w:color w:val="auto"/>
        </w:rPr>
        <w:t>. 148—207, jan</w:t>
      </w:r>
      <w:r w:rsidR="00BD13A3" w:rsidRPr="0075408C">
        <w:rPr>
          <w:color w:val="auto"/>
        </w:rPr>
        <w:t>eiro</w:t>
      </w:r>
      <w:r w:rsidRPr="0075408C">
        <w:rPr>
          <w:color w:val="auto"/>
        </w:rPr>
        <w:t>/abr</w:t>
      </w:r>
      <w:r w:rsidR="00BD13A3" w:rsidRPr="0075408C">
        <w:rPr>
          <w:color w:val="auto"/>
        </w:rPr>
        <w:t>il</w:t>
      </w:r>
      <w:r w:rsidR="00C63A75" w:rsidRPr="0075408C">
        <w:rPr>
          <w:color w:val="auto"/>
        </w:rPr>
        <w:t>,</w:t>
      </w:r>
      <w:r w:rsidRPr="0075408C">
        <w:rPr>
          <w:color w:val="auto"/>
        </w:rPr>
        <w:t xml:space="preserve"> 2007</w:t>
      </w:r>
      <w:r w:rsidR="006A1880" w:rsidRPr="0075408C">
        <w:rPr>
          <w:color w:val="auto"/>
        </w:rPr>
        <w:t>.</w:t>
      </w:r>
    </w:p>
    <w:p w14:paraId="00EDFE77" w14:textId="693A26D2" w:rsidR="003E6116" w:rsidRPr="0075408C" w:rsidRDefault="003E6116" w:rsidP="003E6116">
      <w:pPr>
        <w:ind w:firstLine="0"/>
        <w:jc w:val="left"/>
        <w:rPr>
          <w:color w:val="auto"/>
        </w:rPr>
      </w:pPr>
      <w:r w:rsidRPr="0075408C">
        <w:rPr>
          <w:color w:val="auto"/>
        </w:rPr>
        <w:t>CARDOSO, O</w:t>
      </w:r>
      <w:r w:rsidR="006A1880" w:rsidRPr="0075408C">
        <w:rPr>
          <w:color w:val="auto"/>
        </w:rPr>
        <w:t>.</w:t>
      </w:r>
      <w:r w:rsidRPr="0075408C">
        <w:rPr>
          <w:color w:val="auto"/>
        </w:rPr>
        <w:t xml:space="preserve">O. Comunicação empresarial versus comunicação organizacional: novos desafios teóricos. In: Revista de Administração Pública [online], vol.40, n.6, pp.1123-1144, 2006. </w:t>
      </w:r>
    </w:p>
    <w:p w14:paraId="4547D8AC" w14:textId="76E1EE94" w:rsidR="003E6116" w:rsidRPr="0075408C" w:rsidRDefault="003E6116" w:rsidP="003E6116">
      <w:pPr>
        <w:ind w:firstLine="0"/>
        <w:jc w:val="left"/>
        <w:rPr>
          <w:color w:val="auto"/>
        </w:rPr>
      </w:pPr>
      <w:r w:rsidRPr="0075408C">
        <w:rPr>
          <w:color w:val="auto"/>
        </w:rPr>
        <w:t>CERVO, A.L.; BERVIAN, P.A. Metodologia Científica. São Paulo, Makron. 1983</w:t>
      </w:r>
      <w:r w:rsidR="006A1880" w:rsidRPr="0075408C">
        <w:rPr>
          <w:color w:val="auto"/>
        </w:rPr>
        <w:t>.</w:t>
      </w:r>
    </w:p>
    <w:p w14:paraId="4E61F291" w14:textId="77777777" w:rsidR="00242807" w:rsidRPr="0075408C" w:rsidRDefault="00242807" w:rsidP="00242807">
      <w:pPr>
        <w:ind w:firstLine="0"/>
        <w:jc w:val="left"/>
        <w:rPr>
          <w:color w:val="auto"/>
        </w:rPr>
      </w:pPr>
      <w:r w:rsidRPr="0075408C">
        <w:rPr>
          <w:color w:val="auto"/>
        </w:rPr>
        <w:t xml:space="preserve">CGU. Controladoria Geral da União. Acesso à informação pública: uma introdução à Lei nº 12.527, de 18 de novembro de 2011. Brasília, 2011. Disponível em: &lt;http://www.acessoainformacao.gov.br/central-de-conteudo/publicacoes/arquivos/cartilhaacessoainformacao.pdf/@@download/file/CartilhaAcessoaInformacao&gt;. Acesso em: 16 jun. 2019. </w:t>
      </w:r>
    </w:p>
    <w:p w14:paraId="1EA389C2" w14:textId="77777777" w:rsidR="00242807" w:rsidRPr="0075408C" w:rsidRDefault="00242807" w:rsidP="00242807">
      <w:pPr>
        <w:ind w:firstLine="0"/>
        <w:jc w:val="left"/>
        <w:rPr>
          <w:color w:val="auto"/>
        </w:rPr>
      </w:pPr>
      <w:r w:rsidRPr="0075408C">
        <w:rPr>
          <w:color w:val="auto"/>
        </w:rPr>
        <w:t>____. A sociedade no acompanhamento e controle da gestão pública (relatório final). Brasília, 2012. Disponível em: &lt;https://www.cgu.gov.br/assuntos/controle-social/consocial/arquivos/relatorio-final/consocial_relatorio_executivo_final_16012013.pdf/view&gt;. Acesso em: 16 jun. 2019.</w:t>
      </w:r>
    </w:p>
    <w:p w14:paraId="5CF1AF30" w14:textId="77777777" w:rsidR="00EA1B05" w:rsidRPr="0075408C" w:rsidRDefault="00EA1B05" w:rsidP="00EA1B05">
      <w:pPr>
        <w:ind w:firstLine="0"/>
        <w:jc w:val="left"/>
        <w:rPr>
          <w:color w:val="auto"/>
          <w:lang w:val="en-US"/>
        </w:rPr>
      </w:pPr>
      <w:r w:rsidRPr="0075408C">
        <w:rPr>
          <w:color w:val="auto"/>
          <w:lang w:val="en-US"/>
        </w:rPr>
        <w:t xml:space="preserve">CLEMENTS, B., MEDAS, P., ALVES, M., BORNHORST, F., GONGUET, F., IRWIN, T., JEGER, E., RAME, X. e ROSSI, J. L. Brazil: Fiscal Transparency Evaluation; IMF Country Report 17/104, 2017. </w:t>
      </w:r>
      <w:r w:rsidRPr="0075408C">
        <w:rPr>
          <w:color w:val="auto"/>
        </w:rPr>
        <w:t>Disponível em: &lt;http://www.tesouro.fazenda.gov.br/documents/10180/318974/Relat%C3%B3rio+de+transpa</w:t>
      </w:r>
      <w:r w:rsidRPr="0075408C">
        <w:rPr>
          <w:color w:val="auto"/>
        </w:rPr>
        <w:lastRenderedPageBreak/>
        <w:t>r%C3%AAncia+-+Portugu%C3%AAs/39be20dd-3846-4f8b-9dd4-429a207b8b68&gt;. Acesso em: 2 jun. 2019.</w:t>
      </w:r>
    </w:p>
    <w:p w14:paraId="70501639" w14:textId="77777777" w:rsidR="003E6116" w:rsidRPr="0075408C" w:rsidRDefault="003E6116" w:rsidP="003E6116">
      <w:pPr>
        <w:ind w:firstLine="0"/>
        <w:jc w:val="left"/>
        <w:rPr>
          <w:color w:val="auto"/>
        </w:rPr>
      </w:pPr>
      <w:r w:rsidRPr="0075408C">
        <w:rPr>
          <w:color w:val="auto"/>
        </w:rPr>
        <w:t>COHN, G. A forma da sociedade da informação. In: DOWBOR, L. et al. (</w:t>
      </w:r>
      <w:proofErr w:type="spellStart"/>
      <w:r w:rsidRPr="0075408C">
        <w:rPr>
          <w:color w:val="auto"/>
        </w:rPr>
        <w:t>Orgs</w:t>
      </w:r>
      <w:proofErr w:type="spellEnd"/>
      <w:r w:rsidRPr="0075408C">
        <w:rPr>
          <w:color w:val="auto"/>
        </w:rPr>
        <w:t>.). Desafios da</w:t>
      </w:r>
    </w:p>
    <w:p w14:paraId="4B7188E9" w14:textId="77777777" w:rsidR="003E6116" w:rsidRPr="0075408C" w:rsidRDefault="003E6116" w:rsidP="003E6116">
      <w:pPr>
        <w:ind w:firstLine="0"/>
        <w:jc w:val="left"/>
        <w:rPr>
          <w:color w:val="auto"/>
        </w:rPr>
      </w:pPr>
      <w:r w:rsidRPr="0075408C">
        <w:rPr>
          <w:color w:val="auto"/>
        </w:rPr>
        <w:t>Comunicação, p. 20-27. Petrópolis: Vozes, 2001.</w:t>
      </w:r>
    </w:p>
    <w:p w14:paraId="16E6F0B0" w14:textId="09185185" w:rsidR="003E6116" w:rsidRPr="0075408C" w:rsidRDefault="003E6116" w:rsidP="003E6116">
      <w:pPr>
        <w:ind w:firstLine="0"/>
        <w:jc w:val="left"/>
        <w:rPr>
          <w:color w:val="auto"/>
        </w:rPr>
      </w:pPr>
      <w:r w:rsidRPr="0075408C">
        <w:rPr>
          <w:color w:val="auto"/>
        </w:rPr>
        <w:t xml:space="preserve">DRETSKE, F.I. </w:t>
      </w:r>
      <w:proofErr w:type="spellStart"/>
      <w:r w:rsidRPr="0075408C">
        <w:rPr>
          <w:color w:val="auto"/>
        </w:rPr>
        <w:t>Knowledge</w:t>
      </w:r>
      <w:proofErr w:type="spellEnd"/>
      <w:r w:rsidRPr="0075408C">
        <w:rPr>
          <w:color w:val="auto"/>
        </w:rPr>
        <w:t xml:space="preserve"> </w:t>
      </w:r>
      <w:proofErr w:type="spellStart"/>
      <w:r w:rsidRPr="0075408C">
        <w:rPr>
          <w:color w:val="auto"/>
        </w:rPr>
        <w:t>and</w:t>
      </w:r>
      <w:proofErr w:type="spellEnd"/>
      <w:r w:rsidRPr="0075408C">
        <w:rPr>
          <w:color w:val="auto"/>
        </w:rPr>
        <w:t xml:space="preserve"> </w:t>
      </w:r>
      <w:proofErr w:type="spellStart"/>
      <w:r w:rsidRPr="0075408C">
        <w:rPr>
          <w:color w:val="auto"/>
        </w:rPr>
        <w:t>the</w:t>
      </w:r>
      <w:proofErr w:type="spellEnd"/>
      <w:r w:rsidRPr="0075408C">
        <w:rPr>
          <w:color w:val="auto"/>
        </w:rPr>
        <w:t xml:space="preserve"> </w:t>
      </w:r>
      <w:proofErr w:type="spellStart"/>
      <w:r w:rsidRPr="0075408C">
        <w:rPr>
          <w:color w:val="auto"/>
        </w:rPr>
        <w:t>flow</w:t>
      </w:r>
      <w:proofErr w:type="spellEnd"/>
      <w:r w:rsidRPr="0075408C">
        <w:rPr>
          <w:color w:val="auto"/>
        </w:rPr>
        <w:t xml:space="preserve"> </w:t>
      </w:r>
      <w:proofErr w:type="spellStart"/>
      <w:r w:rsidRPr="0075408C">
        <w:rPr>
          <w:color w:val="auto"/>
        </w:rPr>
        <w:t>of</w:t>
      </w:r>
      <w:proofErr w:type="spellEnd"/>
      <w:r w:rsidRPr="0075408C">
        <w:rPr>
          <w:color w:val="auto"/>
        </w:rPr>
        <w:t xml:space="preserve"> </w:t>
      </w:r>
      <w:proofErr w:type="spellStart"/>
      <w:r w:rsidRPr="0075408C">
        <w:rPr>
          <w:color w:val="auto"/>
        </w:rPr>
        <w:t>information</w:t>
      </w:r>
      <w:proofErr w:type="spellEnd"/>
      <w:r w:rsidRPr="0075408C">
        <w:rPr>
          <w:color w:val="auto"/>
        </w:rPr>
        <w:t xml:space="preserve">. Oxford: </w:t>
      </w:r>
      <w:proofErr w:type="spellStart"/>
      <w:r w:rsidRPr="0075408C">
        <w:rPr>
          <w:color w:val="auto"/>
        </w:rPr>
        <w:t>Blackwell</w:t>
      </w:r>
      <w:proofErr w:type="spellEnd"/>
      <w:r w:rsidRPr="0075408C">
        <w:rPr>
          <w:color w:val="auto"/>
        </w:rPr>
        <w:t xml:space="preserve"> Publisher</w:t>
      </w:r>
      <w:r w:rsidR="005B46D6" w:rsidRPr="0075408C">
        <w:rPr>
          <w:color w:val="auto"/>
        </w:rPr>
        <w:t>,</w:t>
      </w:r>
      <w:r w:rsidRPr="0075408C">
        <w:rPr>
          <w:color w:val="auto"/>
        </w:rPr>
        <w:t xml:space="preserve"> 1981</w:t>
      </w:r>
      <w:r w:rsidR="005B46D6" w:rsidRPr="0075408C">
        <w:rPr>
          <w:color w:val="auto"/>
        </w:rPr>
        <w:t>.</w:t>
      </w:r>
    </w:p>
    <w:p w14:paraId="61C59308" w14:textId="77777777" w:rsidR="008B73B4" w:rsidRPr="0075408C" w:rsidRDefault="008B73B4" w:rsidP="008B73B4">
      <w:pPr>
        <w:ind w:firstLine="0"/>
        <w:jc w:val="left"/>
        <w:rPr>
          <w:color w:val="auto"/>
        </w:rPr>
      </w:pPr>
      <w:r w:rsidRPr="0075408C">
        <w:rPr>
          <w:color w:val="auto"/>
        </w:rPr>
        <w:t>FMI. Fundo Monetário Internacional. </w:t>
      </w:r>
      <w:r w:rsidRPr="0075408C">
        <w:rPr>
          <w:rStyle w:val="nfase"/>
          <w:i w:val="0"/>
          <w:color w:val="auto"/>
        </w:rPr>
        <w:t>Código de Boas Práticas para a Transparência Fiscal</w:t>
      </w:r>
      <w:r w:rsidRPr="0075408C">
        <w:rPr>
          <w:color w:val="auto"/>
        </w:rPr>
        <w:t> (</w:t>
      </w:r>
      <w:r w:rsidRPr="0075408C">
        <w:rPr>
          <w:rStyle w:val="nfase"/>
          <w:i w:val="0"/>
          <w:color w:val="auto"/>
        </w:rPr>
        <w:t>2007</w:t>
      </w:r>
      <w:r w:rsidRPr="0075408C">
        <w:rPr>
          <w:color w:val="auto"/>
        </w:rPr>
        <w:t>). Disponível em: &lt;https://www.imf.org/</w:t>
      </w:r>
      <w:proofErr w:type="spellStart"/>
      <w:r w:rsidRPr="0075408C">
        <w:rPr>
          <w:color w:val="auto"/>
        </w:rPr>
        <w:t>external</w:t>
      </w:r>
      <w:proofErr w:type="spellEnd"/>
      <w:r w:rsidRPr="0075408C">
        <w:rPr>
          <w:color w:val="auto"/>
        </w:rPr>
        <w:t>/</w:t>
      </w:r>
      <w:proofErr w:type="spellStart"/>
      <w:r w:rsidRPr="0075408C">
        <w:rPr>
          <w:color w:val="auto"/>
        </w:rPr>
        <w:t>np</w:t>
      </w:r>
      <w:proofErr w:type="spellEnd"/>
      <w:r w:rsidRPr="0075408C">
        <w:rPr>
          <w:color w:val="auto"/>
        </w:rPr>
        <w:t>/</w:t>
      </w:r>
      <w:proofErr w:type="spellStart"/>
      <w:r w:rsidRPr="0075408C">
        <w:rPr>
          <w:color w:val="auto"/>
        </w:rPr>
        <w:t>fad</w:t>
      </w:r>
      <w:proofErr w:type="spellEnd"/>
      <w:r w:rsidRPr="0075408C">
        <w:rPr>
          <w:color w:val="auto"/>
        </w:rPr>
        <w:t>/</w:t>
      </w:r>
      <w:proofErr w:type="spellStart"/>
      <w:r w:rsidRPr="0075408C">
        <w:rPr>
          <w:color w:val="auto"/>
        </w:rPr>
        <w:t>trans</w:t>
      </w:r>
      <w:proofErr w:type="spellEnd"/>
      <w:r w:rsidRPr="0075408C">
        <w:rPr>
          <w:color w:val="auto"/>
        </w:rPr>
        <w:t>/por/codep.pdf&gt;. Acesso em: 16 jun. 2019.</w:t>
      </w:r>
    </w:p>
    <w:p w14:paraId="73A6941D" w14:textId="4F22E9D1" w:rsidR="008B73B4" w:rsidRPr="0075408C" w:rsidRDefault="008B73B4" w:rsidP="008B73B4">
      <w:pPr>
        <w:ind w:firstLine="0"/>
        <w:jc w:val="left"/>
        <w:rPr>
          <w:color w:val="auto"/>
        </w:rPr>
      </w:pPr>
      <w:r w:rsidRPr="0075408C">
        <w:rPr>
          <w:color w:val="auto"/>
        </w:rPr>
        <w:t xml:space="preserve">___. Fundo Monetário Internacional. </w:t>
      </w:r>
      <w:proofErr w:type="spellStart"/>
      <w:r w:rsidRPr="0075408C">
        <w:rPr>
          <w:color w:val="auto"/>
        </w:rPr>
        <w:t>Government</w:t>
      </w:r>
      <w:proofErr w:type="spellEnd"/>
      <w:r w:rsidRPr="0075408C">
        <w:rPr>
          <w:color w:val="auto"/>
        </w:rPr>
        <w:t xml:space="preserve"> </w:t>
      </w:r>
      <w:proofErr w:type="spellStart"/>
      <w:r w:rsidRPr="0075408C">
        <w:rPr>
          <w:color w:val="auto"/>
        </w:rPr>
        <w:t>Finance</w:t>
      </w:r>
      <w:proofErr w:type="spellEnd"/>
      <w:r w:rsidRPr="0075408C">
        <w:rPr>
          <w:color w:val="auto"/>
        </w:rPr>
        <w:t xml:space="preserve"> </w:t>
      </w:r>
      <w:proofErr w:type="spellStart"/>
      <w:r w:rsidRPr="0075408C">
        <w:rPr>
          <w:color w:val="auto"/>
        </w:rPr>
        <w:t>Statistics</w:t>
      </w:r>
      <w:proofErr w:type="spellEnd"/>
      <w:r w:rsidRPr="0075408C">
        <w:rPr>
          <w:color w:val="auto"/>
        </w:rPr>
        <w:t xml:space="preserve"> Manual 2001 (GFSM 2001). Disponível em: &lt; https://www.imf.org/external/pubs/ft/gfs/manual/index.htm&gt;. Acesso em: 7 jul. 2019.</w:t>
      </w:r>
    </w:p>
    <w:p w14:paraId="72D2EFE7" w14:textId="6F20C7AE" w:rsidR="005B46D6" w:rsidRPr="0075408C" w:rsidRDefault="005B46D6" w:rsidP="005B46D6">
      <w:pPr>
        <w:ind w:firstLine="0"/>
        <w:jc w:val="left"/>
        <w:rPr>
          <w:color w:val="auto"/>
        </w:rPr>
      </w:pPr>
      <w:r w:rsidRPr="0075408C">
        <w:rPr>
          <w:color w:val="auto"/>
        </w:rPr>
        <w:t xml:space="preserve">GRIFFITH, J. </w:t>
      </w:r>
      <w:proofErr w:type="spellStart"/>
      <w:r w:rsidRPr="0075408C">
        <w:rPr>
          <w:color w:val="auto"/>
        </w:rPr>
        <w:t>Beyond</w:t>
      </w:r>
      <w:proofErr w:type="spellEnd"/>
      <w:r w:rsidRPr="0075408C">
        <w:rPr>
          <w:color w:val="auto"/>
        </w:rPr>
        <w:t xml:space="preserve"> </w:t>
      </w:r>
      <w:proofErr w:type="spellStart"/>
      <w:r w:rsidRPr="0075408C">
        <w:rPr>
          <w:color w:val="auto"/>
        </w:rPr>
        <w:t>transparency</w:t>
      </w:r>
      <w:proofErr w:type="spellEnd"/>
      <w:r w:rsidRPr="0075408C">
        <w:rPr>
          <w:color w:val="auto"/>
        </w:rPr>
        <w:t xml:space="preserve">: new standards for </w:t>
      </w:r>
      <w:proofErr w:type="spellStart"/>
      <w:r w:rsidRPr="0075408C">
        <w:rPr>
          <w:color w:val="auto"/>
        </w:rPr>
        <w:t>legislative</w:t>
      </w:r>
      <w:proofErr w:type="spellEnd"/>
      <w:r w:rsidRPr="0075408C">
        <w:rPr>
          <w:color w:val="auto"/>
        </w:rPr>
        <w:t xml:space="preserve"> </w:t>
      </w:r>
      <w:proofErr w:type="spellStart"/>
      <w:r w:rsidRPr="0075408C">
        <w:rPr>
          <w:color w:val="auto"/>
        </w:rPr>
        <w:t>information</w:t>
      </w:r>
      <w:proofErr w:type="spellEnd"/>
      <w:r w:rsidRPr="0075408C">
        <w:rPr>
          <w:color w:val="auto"/>
        </w:rPr>
        <w:t xml:space="preserve"> systems. </w:t>
      </w:r>
      <w:proofErr w:type="spellStart"/>
      <w:r w:rsidRPr="0075408C">
        <w:rPr>
          <w:color w:val="auto"/>
        </w:rPr>
        <w:t>Fulbright</w:t>
      </w:r>
      <w:proofErr w:type="spellEnd"/>
      <w:r w:rsidRPr="0075408C">
        <w:rPr>
          <w:color w:val="auto"/>
        </w:rPr>
        <w:t xml:space="preserve"> </w:t>
      </w:r>
      <w:proofErr w:type="spellStart"/>
      <w:r w:rsidRPr="0075408C">
        <w:rPr>
          <w:color w:val="auto"/>
        </w:rPr>
        <w:t>Research</w:t>
      </w:r>
      <w:proofErr w:type="spellEnd"/>
      <w:r w:rsidRPr="0075408C">
        <w:rPr>
          <w:color w:val="auto"/>
        </w:rPr>
        <w:t xml:space="preserve"> Scholar</w:t>
      </w:r>
      <w:r w:rsidR="005948F3" w:rsidRPr="0075408C">
        <w:rPr>
          <w:color w:val="auto"/>
        </w:rPr>
        <w:t>,</w:t>
      </w:r>
      <w:r w:rsidRPr="0075408C">
        <w:rPr>
          <w:color w:val="auto"/>
        </w:rPr>
        <w:t xml:space="preserve"> 2006. Disponível em: &lt;http://lib.rada.gov.ua/LibRada/static/LIBRARY/povni_text/Beyond_Transparency_Rev210706.pdf&gt;. Acesso em: 16 jun. 2019.</w:t>
      </w:r>
    </w:p>
    <w:p w14:paraId="26803FDE" w14:textId="77777777" w:rsidR="002C0C30" w:rsidRPr="0075408C" w:rsidRDefault="002C0C30" w:rsidP="002C0C30">
      <w:pPr>
        <w:ind w:firstLine="0"/>
        <w:jc w:val="left"/>
        <w:rPr>
          <w:color w:val="auto"/>
          <w:lang w:val="en-US"/>
        </w:rPr>
      </w:pPr>
      <w:r w:rsidRPr="0075408C">
        <w:rPr>
          <w:color w:val="auto"/>
        </w:rPr>
        <w:t xml:space="preserve">GENELOT, Dominique. Manager </w:t>
      </w:r>
      <w:proofErr w:type="spellStart"/>
      <w:r w:rsidRPr="0075408C">
        <w:rPr>
          <w:color w:val="auto"/>
        </w:rPr>
        <w:t>dans</w:t>
      </w:r>
      <w:proofErr w:type="spellEnd"/>
      <w:r w:rsidRPr="0075408C">
        <w:rPr>
          <w:color w:val="auto"/>
        </w:rPr>
        <w:t xml:space="preserve"> </w:t>
      </w:r>
      <w:proofErr w:type="spellStart"/>
      <w:r w:rsidRPr="0075408C">
        <w:rPr>
          <w:color w:val="auto"/>
        </w:rPr>
        <w:t>la</w:t>
      </w:r>
      <w:proofErr w:type="spellEnd"/>
      <w:r w:rsidRPr="0075408C">
        <w:rPr>
          <w:color w:val="auto"/>
        </w:rPr>
        <w:t xml:space="preserve"> </w:t>
      </w:r>
      <w:proofErr w:type="spellStart"/>
      <w:r w:rsidRPr="0075408C">
        <w:rPr>
          <w:color w:val="auto"/>
        </w:rPr>
        <w:t>complexité</w:t>
      </w:r>
      <w:proofErr w:type="spellEnd"/>
      <w:r w:rsidRPr="0075408C">
        <w:rPr>
          <w:color w:val="auto"/>
        </w:rPr>
        <w:t xml:space="preserve"> — </w:t>
      </w:r>
      <w:proofErr w:type="spellStart"/>
      <w:r w:rsidRPr="0075408C">
        <w:rPr>
          <w:color w:val="auto"/>
        </w:rPr>
        <w:t>reflexions</w:t>
      </w:r>
      <w:proofErr w:type="spellEnd"/>
      <w:r w:rsidRPr="0075408C">
        <w:rPr>
          <w:color w:val="auto"/>
        </w:rPr>
        <w:t xml:space="preserve"> à </w:t>
      </w:r>
      <w:proofErr w:type="spellStart"/>
      <w:r w:rsidRPr="0075408C">
        <w:rPr>
          <w:color w:val="auto"/>
        </w:rPr>
        <w:t>l’usage</w:t>
      </w:r>
      <w:proofErr w:type="spellEnd"/>
      <w:r w:rsidRPr="0075408C">
        <w:rPr>
          <w:color w:val="auto"/>
        </w:rPr>
        <w:t xml:space="preserve"> </w:t>
      </w:r>
      <w:proofErr w:type="spellStart"/>
      <w:r w:rsidRPr="0075408C">
        <w:rPr>
          <w:color w:val="auto"/>
        </w:rPr>
        <w:t>des</w:t>
      </w:r>
      <w:proofErr w:type="spellEnd"/>
      <w:r w:rsidRPr="0075408C">
        <w:rPr>
          <w:color w:val="auto"/>
        </w:rPr>
        <w:t xml:space="preserve"> </w:t>
      </w:r>
      <w:proofErr w:type="spellStart"/>
      <w:r w:rsidRPr="0075408C">
        <w:rPr>
          <w:color w:val="auto"/>
        </w:rPr>
        <w:t>dirigents</w:t>
      </w:r>
      <w:proofErr w:type="spellEnd"/>
      <w:r w:rsidRPr="0075408C">
        <w:rPr>
          <w:color w:val="auto"/>
        </w:rPr>
        <w:t xml:space="preserve">. 3. ed. Paris: </w:t>
      </w:r>
      <w:proofErr w:type="spellStart"/>
      <w:r w:rsidRPr="0075408C">
        <w:rPr>
          <w:color w:val="auto"/>
        </w:rPr>
        <w:t>Insep</w:t>
      </w:r>
      <w:proofErr w:type="spellEnd"/>
      <w:r w:rsidRPr="0075408C">
        <w:rPr>
          <w:color w:val="auto"/>
        </w:rPr>
        <w:t xml:space="preserve"> Consulting, 2001.</w:t>
      </w:r>
    </w:p>
    <w:p w14:paraId="37D70917" w14:textId="77777777" w:rsidR="00981EAD" w:rsidRPr="0075408C" w:rsidRDefault="00981EAD" w:rsidP="00981EAD">
      <w:pPr>
        <w:ind w:firstLine="0"/>
        <w:jc w:val="left"/>
        <w:rPr>
          <w:color w:val="auto"/>
        </w:rPr>
      </w:pPr>
      <w:r w:rsidRPr="0075408C">
        <w:rPr>
          <w:color w:val="auto"/>
        </w:rPr>
        <w:t>GIL, Antônio Carlos. Métodos e técnicas de pesquisa social. São Paulo, Atlas. 1999</w:t>
      </w:r>
    </w:p>
    <w:p w14:paraId="15377E7B" w14:textId="2CB6903B" w:rsidR="00D87860" w:rsidRPr="0075408C" w:rsidRDefault="00D87860" w:rsidP="00D87860">
      <w:pPr>
        <w:ind w:firstLine="0"/>
        <w:jc w:val="left"/>
        <w:rPr>
          <w:color w:val="auto"/>
        </w:rPr>
      </w:pPr>
      <w:r w:rsidRPr="0075408C">
        <w:rPr>
          <w:color w:val="auto"/>
        </w:rPr>
        <w:t>GLEICK, J. A informação: uma história, uma teoria, uma enxurrada. São Paulo: Companhia das Letras, 2013.</w:t>
      </w:r>
    </w:p>
    <w:p w14:paraId="62A21D70" w14:textId="70A24750" w:rsidR="005948F3" w:rsidRPr="0075408C" w:rsidRDefault="005948F3" w:rsidP="005948F3">
      <w:pPr>
        <w:ind w:firstLine="0"/>
        <w:jc w:val="left"/>
        <w:rPr>
          <w:color w:val="auto"/>
        </w:rPr>
      </w:pPr>
      <w:r w:rsidRPr="0075408C">
        <w:rPr>
          <w:color w:val="auto"/>
        </w:rPr>
        <w:t xml:space="preserve">HEALD, D. </w:t>
      </w:r>
      <w:proofErr w:type="spellStart"/>
      <w:r w:rsidRPr="0075408C">
        <w:rPr>
          <w:color w:val="auto"/>
        </w:rPr>
        <w:t>Transparency</w:t>
      </w:r>
      <w:proofErr w:type="spellEnd"/>
      <w:r w:rsidRPr="0075408C">
        <w:rPr>
          <w:color w:val="auto"/>
        </w:rPr>
        <w:t xml:space="preserve"> as </w:t>
      </w:r>
      <w:proofErr w:type="spellStart"/>
      <w:r w:rsidRPr="0075408C">
        <w:rPr>
          <w:color w:val="auto"/>
        </w:rPr>
        <w:t>an</w:t>
      </w:r>
      <w:proofErr w:type="spellEnd"/>
      <w:r w:rsidRPr="0075408C">
        <w:rPr>
          <w:color w:val="auto"/>
        </w:rPr>
        <w:t xml:space="preserve"> instrumental </w:t>
      </w:r>
      <w:proofErr w:type="spellStart"/>
      <w:r w:rsidRPr="0075408C">
        <w:rPr>
          <w:color w:val="auto"/>
        </w:rPr>
        <w:t>value</w:t>
      </w:r>
      <w:proofErr w:type="spellEnd"/>
      <w:r w:rsidRPr="0075408C">
        <w:rPr>
          <w:color w:val="auto"/>
        </w:rPr>
        <w:t>. In: HOOD, C.; HEALD, D. (</w:t>
      </w:r>
      <w:proofErr w:type="spellStart"/>
      <w:r w:rsidRPr="0075408C">
        <w:rPr>
          <w:color w:val="auto"/>
        </w:rPr>
        <w:t>org</w:t>
      </w:r>
      <w:proofErr w:type="spellEnd"/>
      <w:r w:rsidRPr="0075408C">
        <w:rPr>
          <w:color w:val="auto"/>
        </w:rPr>
        <w:t xml:space="preserve">). </w:t>
      </w:r>
      <w:proofErr w:type="spellStart"/>
      <w:r w:rsidRPr="0075408C">
        <w:rPr>
          <w:iCs/>
          <w:color w:val="auto"/>
        </w:rPr>
        <w:t>Transparency</w:t>
      </w:r>
      <w:proofErr w:type="spellEnd"/>
      <w:r w:rsidRPr="0075408C">
        <w:rPr>
          <w:color w:val="auto"/>
        </w:rPr>
        <w:t xml:space="preserve">: </w:t>
      </w:r>
      <w:proofErr w:type="spellStart"/>
      <w:r w:rsidRPr="0075408C">
        <w:rPr>
          <w:color w:val="auto"/>
        </w:rPr>
        <w:t>the</w:t>
      </w:r>
      <w:proofErr w:type="spellEnd"/>
      <w:r w:rsidRPr="0075408C">
        <w:rPr>
          <w:color w:val="auto"/>
        </w:rPr>
        <w:t xml:space="preserve"> </w:t>
      </w:r>
      <w:proofErr w:type="spellStart"/>
      <w:r w:rsidRPr="0075408C">
        <w:rPr>
          <w:color w:val="auto"/>
        </w:rPr>
        <w:t>key</w:t>
      </w:r>
      <w:proofErr w:type="spellEnd"/>
      <w:r w:rsidRPr="0075408C">
        <w:rPr>
          <w:color w:val="auto"/>
        </w:rPr>
        <w:t xml:space="preserve"> </w:t>
      </w:r>
      <w:proofErr w:type="spellStart"/>
      <w:r w:rsidRPr="0075408C">
        <w:rPr>
          <w:color w:val="auto"/>
        </w:rPr>
        <w:t>to</w:t>
      </w:r>
      <w:proofErr w:type="spellEnd"/>
      <w:r w:rsidRPr="0075408C">
        <w:rPr>
          <w:color w:val="auto"/>
        </w:rPr>
        <w:t xml:space="preserve"> </w:t>
      </w:r>
      <w:proofErr w:type="spellStart"/>
      <w:r w:rsidRPr="0075408C">
        <w:rPr>
          <w:color w:val="auto"/>
        </w:rPr>
        <w:t>better</w:t>
      </w:r>
      <w:proofErr w:type="spellEnd"/>
      <w:r w:rsidRPr="0075408C">
        <w:rPr>
          <w:color w:val="auto"/>
        </w:rPr>
        <w:t xml:space="preserve"> </w:t>
      </w:r>
      <w:proofErr w:type="spellStart"/>
      <w:r w:rsidRPr="0075408C">
        <w:rPr>
          <w:color w:val="auto"/>
        </w:rPr>
        <w:t>governance</w:t>
      </w:r>
      <w:proofErr w:type="spellEnd"/>
      <w:r w:rsidRPr="0075408C">
        <w:rPr>
          <w:color w:val="auto"/>
        </w:rPr>
        <w:t xml:space="preserve">? Nova York: Oxford </w:t>
      </w:r>
      <w:proofErr w:type="spellStart"/>
      <w:r w:rsidRPr="0075408C">
        <w:rPr>
          <w:color w:val="auto"/>
        </w:rPr>
        <w:t>University</w:t>
      </w:r>
      <w:proofErr w:type="spellEnd"/>
      <w:r w:rsidRPr="0075408C">
        <w:rPr>
          <w:color w:val="auto"/>
        </w:rPr>
        <w:t xml:space="preserve"> Press, pp. 59-73, 2006. </w:t>
      </w:r>
    </w:p>
    <w:p w14:paraId="00503905" w14:textId="2B78E5DD" w:rsidR="005948F3" w:rsidRPr="0075408C" w:rsidRDefault="005948F3" w:rsidP="005948F3">
      <w:pPr>
        <w:ind w:firstLine="0"/>
        <w:jc w:val="left"/>
        <w:rPr>
          <w:color w:val="auto"/>
        </w:rPr>
      </w:pPr>
      <w:r w:rsidRPr="0075408C">
        <w:rPr>
          <w:color w:val="auto"/>
        </w:rPr>
        <w:t>______</w:t>
      </w:r>
      <w:r w:rsidR="0026265A" w:rsidRPr="0075408C">
        <w:rPr>
          <w:color w:val="auto"/>
        </w:rPr>
        <w:t>___</w:t>
      </w:r>
      <w:r w:rsidRPr="0075408C">
        <w:rPr>
          <w:color w:val="auto"/>
        </w:rPr>
        <w:t xml:space="preserve">. </w:t>
      </w:r>
      <w:proofErr w:type="spellStart"/>
      <w:r w:rsidRPr="0075408C">
        <w:rPr>
          <w:color w:val="auto"/>
        </w:rPr>
        <w:t>Varieties</w:t>
      </w:r>
      <w:proofErr w:type="spellEnd"/>
      <w:r w:rsidRPr="0075408C">
        <w:rPr>
          <w:color w:val="auto"/>
        </w:rPr>
        <w:t xml:space="preserve"> </w:t>
      </w:r>
      <w:proofErr w:type="spellStart"/>
      <w:r w:rsidRPr="0075408C">
        <w:rPr>
          <w:color w:val="auto"/>
        </w:rPr>
        <w:t>of</w:t>
      </w:r>
      <w:proofErr w:type="spellEnd"/>
      <w:r w:rsidRPr="0075408C">
        <w:rPr>
          <w:color w:val="auto"/>
        </w:rPr>
        <w:t xml:space="preserve"> </w:t>
      </w:r>
      <w:proofErr w:type="spellStart"/>
      <w:r w:rsidRPr="0075408C">
        <w:rPr>
          <w:color w:val="auto"/>
        </w:rPr>
        <w:t>transparency</w:t>
      </w:r>
      <w:proofErr w:type="spellEnd"/>
      <w:r w:rsidRPr="0075408C">
        <w:rPr>
          <w:color w:val="auto"/>
        </w:rPr>
        <w:t>. In: HOOD, C.; HEALD, D. (</w:t>
      </w:r>
      <w:proofErr w:type="spellStart"/>
      <w:r w:rsidRPr="0075408C">
        <w:rPr>
          <w:color w:val="auto"/>
        </w:rPr>
        <w:t>org</w:t>
      </w:r>
      <w:proofErr w:type="spellEnd"/>
      <w:r w:rsidRPr="0075408C">
        <w:rPr>
          <w:color w:val="auto"/>
        </w:rPr>
        <w:t xml:space="preserve">). </w:t>
      </w:r>
      <w:proofErr w:type="spellStart"/>
      <w:r w:rsidRPr="0075408C">
        <w:rPr>
          <w:iCs/>
          <w:color w:val="auto"/>
        </w:rPr>
        <w:t>Transparency</w:t>
      </w:r>
      <w:proofErr w:type="spellEnd"/>
      <w:r w:rsidRPr="0075408C">
        <w:rPr>
          <w:color w:val="auto"/>
        </w:rPr>
        <w:t xml:space="preserve">: </w:t>
      </w:r>
      <w:proofErr w:type="spellStart"/>
      <w:r w:rsidRPr="0075408C">
        <w:rPr>
          <w:color w:val="auto"/>
        </w:rPr>
        <w:t>the</w:t>
      </w:r>
      <w:proofErr w:type="spellEnd"/>
      <w:r w:rsidRPr="0075408C">
        <w:rPr>
          <w:color w:val="auto"/>
        </w:rPr>
        <w:t xml:space="preserve"> </w:t>
      </w:r>
      <w:proofErr w:type="spellStart"/>
      <w:r w:rsidRPr="0075408C">
        <w:rPr>
          <w:color w:val="auto"/>
        </w:rPr>
        <w:t>key</w:t>
      </w:r>
      <w:proofErr w:type="spellEnd"/>
      <w:r w:rsidRPr="0075408C">
        <w:rPr>
          <w:color w:val="auto"/>
        </w:rPr>
        <w:t xml:space="preserve"> </w:t>
      </w:r>
      <w:proofErr w:type="spellStart"/>
      <w:r w:rsidRPr="0075408C">
        <w:rPr>
          <w:color w:val="auto"/>
        </w:rPr>
        <w:t>to</w:t>
      </w:r>
      <w:proofErr w:type="spellEnd"/>
      <w:r w:rsidRPr="0075408C">
        <w:rPr>
          <w:color w:val="auto"/>
        </w:rPr>
        <w:t xml:space="preserve"> </w:t>
      </w:r>
      <w:proofErr w:type="spellStart"/>
      <w:r w:rsidRPr="0075408C">
        <w:rPr>
          <w:color w:val="auto"/>
        </w:rPr>
        <w:t>better</w:t>
      </w:r>
      <w:proofErr w:type="spellEnd"/>
      <w:r w:rsidRPr="0075408C">
        <w:rPr>
          <w:color w:val="auto"/>
        </w:rPr>
        <w:t xml:space="preserve"> </w:t>
      </w:r>
      <w:proofErr w:type="spellStart"/>
      <w:r w:rsidRPr="0075408C">
        <w:rPr>
          <w:color w:val="auto"/>
        </w:rPr>
        <w:t>governance</w:t>
      </w:r>
      <w:proofErr w:type="spellEnd"/>
      <w:r w:rsidRPr="0075408C">
        <w:rPr>
          <w:color w:val="auto"/>
        </w:rPr>
        <w:t xml:space="preserve">? Nova York: Oxford </w:t>
      </w:r>
      <w:proofErr w:type="spellStart"/>
      <w:r w:rsidRPr="0075408C">
        <w:rPr>
          <w:color w:val="auto"/>
        </w:rPr>
        <w:t>University</w:t>
      </w:r>
      <w:proofErr w:type="spellEnd"/>
      <w:r w:rsidRPr="0075408C">
        <w:rPr>
          <w:color w:val="auto"/>
        </w:rPr>
        <w:t xml:space="preserve"> Press, pp. 25-43, 2006.</w:t>
      </w:r>
    </w:p>
    <w:p w14:paraId="5307241F" w14:textId="1B699497" w:rsidR="003E6116" w:rsidRPr="0075408C" w:rsidRDefault="003E6116" w:rsidP="003E6116">
      <w:pPr>
        <w:ind w:firstLine="0"/>
        <w:jc w:val="left"/>
        <w:rPr>
          <w:color w:val="auto"/>
        </w:rPr>
      </w:pPr>
      <w:r w:rsidRPr="0075408C">
        <w:rPr>
          <w:color w:val="auto"/>
        </w:rPr>
        <w:t xml:space="preserve">HOOD, C. </w:t>
      </w:r>
      <w:proofErr w:type="spellStart"/>
      <w:r w:rsidRPr="0075408C">
        <w:rPr>
          <w:color w:val="auto"/>
        </w:rPr>
        <w:t>Transparency</w:t>
      </w:r>
      <w:proofErr w:type="spellEnd"/>
      <w:r w:rsidRPr="0075408C">
        <w:rPr>
          <w:color w:val="auto"/>
        </w:rPr>
        <w:t xml:space="preserve"> in </w:t>
      </w:r>
      <w:proofErr w:type="spellStart"/>
      <w:r w:rsidRPr="0075408C">
        <w:rPr>
          <w:color w:val="auto"/>
        </w:rPr>
        <w:t>historical</w:t>
      </w:r>
      <w:proofErr w:type="spellEnd"/>
      <w:r w:rsidRPr="0075408C">
        <w:rPr>
          <w:color w:val="auto"/>
        </w:rPr>
        <w:t xml:space="preserve"> perspective. In: HOOD, C.; HEALD, D. (</w:t>
      </w:r>
      <w:proofErr w:type="spellStart"/>
      <w:r w:rsidRPr="0075408C">
        <w:rPr>
          <w:color w:val="auto"/>
        </w:rPr>
        <w:t>org</w:t>
      </w:r>
      <w:proofErr w:type="spellEnd"/>
      <w:r w:rsidRPr="0075408C">
        <w:rPr>
          <w:color w:val="auto"/>
        </w:rPr>
        <w:t xml:space="preserve">). </w:t>
      </w:r>
      <w:proofErr w:type="spellStart"/>
      <w:r w:rsidRPr="0075408C">
        <w:rPr>
          <w:iCs/>
          <w:color w:val="auto"/>
        </w:rPr>
        <w:t>Transparency</w:t>
      </w:r>
      <w:proofErr w:type="spellEnd"/>
      <w:r w:rsidRPr="0075408C">
        <w:rPr>
          <w:color w:val="auto"/>
        </w:rPr>
        <w:t xml:space="preserve">: </w:t>
      </w:r>
      <w:proofErr w:type="spellStart"/>
      <w:r w:rsidRPr="0075408C">
        <w:rPr>
          <w:color w:val="auto"/>
        </w:rPr>
        <w:t>the</w:t>
      </w:r>
      <w:proofErr w:type="spellEnd"/>
      <w:r w:rsidRPr="0075408C">
        <w:rPr>
          <w:color w:val="auto"/>
        </w:rPr>
        <w:t xml:space="preserve"> </w:t>
      </w:r>
      <w:proofErr w:type="spellStart"/>
      <w:r w:rsidRPr="0075408C">
        <w:rPr>
          <w:color w:val="auto"/>
        </w:rPr>
        <w:t>key</w:t>
      </w:r>
      <w:proofErr w:type="spellEnd"/>
      <w:r w:rsidRPr="0075408C">
        <w:rPr>
          <w:color w:val="auto"/>
        </w:rPr>
        <w:t xml:space="preserve"> </w:t>
      </w:r>
      <w:proofErr w:type="spellStart"/>
      <w:r w:rsidRPr="0075408C">
        <w:rPr>
          <w:color w:val="auto"/>
        </w:rPr>
        <w:t>to</w:t>
      </w:r>
      <w:proofErr w:type="spellEnd"/>
      <w:r w:rsidRPr="0075408C">
        <w:rPr>
          <w:color w:val="auto"/>
        </w:rPr>
        <w:t xml:space="preserve"> </w:t>
      </w:r>
      <w:proofErr w:type="spellStart"/>
      <w:r w:rsidRPr="0075408C">
        <w:rPr>
          <w:color w:val="auto"/>
        </w:rPr>
        <w:t>better</w:t>
      </w:r>
      <w:proofErr w:type="spellEnd"/>
      <w:r w:rsidRPr="0075408C">
        <w:rPr>
          <w:color w:val="auto"/>
        </w:rPr>
        <w:t xml:space="preserve"> </w:t>
      </w:r>
      <w:proofErr w:type="spellStart"/>
      <w:r w:rsidRPr="0075408C">
        <w:rPr>
          <w:color w:val="auto"/>
        </w:rPr>
        <w:t>governance</w:t>
      </w:r>
      <w:proofErr w:type="spellEnd"/>
      <w:r w:rsidRPr="0075408C">
        <w:rPr>
          <w:color w:val="auto"/>
        </w:rPr>
        <w:t xml:space="preserve">? Nova York: Oxford </w:t>
      </w:r>
      <w:proofErr w:type="spellStart"/>
      <w:r w:rsidRPr="0075408C">
        <w:rPr>
          <w:color w:val="auto"/>
        </w:rPr>
        <w:t>University</w:t>
      </w:r>
      <w:proofErr w:type="spellEnd"/>
      <w:r w:rsidRPr="0075408C">
        <w:rPr>
          <w:color w:val="auto"/>
        </w:rPr>
        <w:t xml:space="preserve"> Press, </w:t>
      </w:r>
      <w:r w:rsidR="00843B00" w:rsidRPr="0075408C">
        <w:rPr>
          <w:color w:val="auto"/>
        </w:rPr>
        <w:t>pp</w:t>
      </w:r>
      <w:r w:rsidR="004E1675" w:rsidRPr="0075408C">
        <w:rPr>
          <w:color w:val="auto"/>
        </w:rPr>
        <w:t xml:space="preserve">. 3-24, </w:t>
      </w:r>
      <w:r w:rsidRPr="0075408C">
        <w:rPr>
          <w:color w:val="auto"/>
        </w:rPr>
        <w:t>2006.</w:t>
      </w:r>
    </w:p>
    <w:p w14:paraId="6764E92C" w14:textId="3397AAE1" w:rsidR="00981EAD" w:rsidRPr="0075408C" w:rsidRDefault="00981EAD" w:rsidP="009D07D9">
      <w:pPr>
        <w:rPr>
          <w:color w:val="auto"/>
        </w:rPr>
      </w:pPr>
      <w:r w:rsidRPr="0075408C">
        <w:rPr>
          <w:color w:val="auto"/>
        </w:rPr>
        <w:t xml:space="preserve">LARSSON, </w:t>
      </w:r>
      <w:proofErr w:type="spellStart"/>
      <w:r w:rsidRPr="0075408C">
        <w:rPr>
          <w:color w:val="auto"/>
        </w:rPr>
        <w:t>Torbjörn</w:t>
      </w:r>
      <w:proofErr w:type="spellEnd"/>
      <w:r w:rsidRPr="0075408C">
        <w:rPr>
          <w:color w:val="auto"/>
        </w:rPr>
        <w:t xml:space="preserve">. </w:t>
      </w:r>
      <w:proofErr w:type="spellStart"/>
      <w:r w:rsidRPr="0075408C">
        <w:rPr>
          <w:color w:val="auto"/>
        </w:rPr>
        <w:t>How</w:t>
      </w:r>
      <w:proofErr w:type="spellEnd"/>
      <w:r w:rsidRPr="0075408C">
        <w:rPr>
          <w:color w:val="auto"/>
        </w:rPr>
        <w:t xml:space="preserve"> open </w:t>
      </w:r>
      <w:proofErr w:type="spellStart"/>
      <w:r w:rsidRPr="0075408C">
        <w:rPr>
          <w:color w:val="auto"/>
        </w:rPr>
        <w:t>can</w:t>
      </w:r>
      <w:proofErr w:type="spellEnd"/>
      <w:r w:rsidRPr="0075408C">
        <w:rPr>
          <w:color w:val="auto"/>
        </w:rPr>
        <w:t xml:space="preserve"> a </w:t>
      </w:r>
      <w:proofErr w:type="spellStart"/>
      <w:r w:rsidRPr="0075408C">
        <w:rPr>
          <w:color w:val="auto"/>
        </w:rPr>
        <w:t>government</w:t>
      </w:r>
      <w:proofErr w:type="spellEnd"/>
      <w:r w:rsidRPr="0075408C">
        <w:rPr>
          <w:color w:val="auto"/>
        </w:rPr>
        <w:t xml:space="preserve"> </w:t>
      </w:r>
      <w:proofErr w:type="spellStart"/>
      <w:r w:rsidRPr="0075408C">
        <w:rPr>
          <w:color w:val="auto"/>
        </w:rPr>
        <w:t>be</w:t>
      </w:r>
      <w:proofErr w:type="spellEnd"/>
      <w:r w:rsidRPr="0075408C">
        <w:rPr>
          <w:color w:val="auto"/>
        </w:rPr>
        <w:t xml:space="preserve">? The </w:t>
      </w:r>
      <w:proofErr w:type="spellStart"/>
      <w:r w:rsidRPr="0075408C">
        <w:rPr>
          <w:color w:val="auto"/>
        </w:rPr>
        <w:t>Swedish</w:t>
      </w:r>
      <w:proofErr w:type="spellEnd"/>
      <w:r w:rsidRPr="0075408C">
        <w:rPr>
          <w:color w:val="auto"/>
        </w:rPr>
        <w:t xml:space="preserve"> </w:t>
      </w:r>
      <w:proofErr w:type="spellStart"/>
      <w:r w:rsidRPr="0075408C">
        <w:rPr>
          <w:color w:val="auto"/>
        </w:rPr>
        <w:t>experience</w:t>
      </w:r>
      <w:proofErr w:type="spellEnd"/>
      <w:r w:rsidRPr="0075408C">
        <w:rPr>
          <w:color w:val="auto"/>
        </w:rPr>
        <w:t xml:space="preserve">. In: </w:t>
      </w:r>
      <w:r w:rsidR="007A636A" w:rsidRPr="0075408C">
        <w:rPr>
          <w:color w:val="auto"/>
        </w:rPr>
        <w:t xml:space="preserve">DECKMYN, V.; THOMSON, I. (Eds.). </w:t>
      </w:r>
      <w:proofErr w:type="spellStart"/>
      <w:r w:rsidR="007A636A" w:rsidRPr="0075408C">
        <w:rPr>
          <w:color w:val="auto"/>
        </w:rPr>
        <w:t>Openness</w:t>
      </w:r>
      <w:proofErr w:type="spellEnd"/>
      <w:r w:rsidR="007A636A" w:rsidRPr="0075408C">
        <w:rPr>
          <w:color w:val="auto"/>
        </w:rPr>
        <w:t xml:space="preserve"> </w:t>
      </w:r>
      <w:proofErr w:type="spellStart"/>
      <w:r w:rsidR="007A636A" w:rsidRPr="0075408C">
        <w:rPr>
          <w:color w:val="auto"/>
        </w:rPr>
        <w:t>and</w:t>
      </w:r>
      <w:proofErr w:type="spellEnd"/>
      <w:r w:rsidR="007A636A" w:rsidRPr="0075408C">
        <w:rPr>
          <w:color w:val="auto"/>
        </w:rPr>
        <w:t xml:space="preserve"> </w:t>
      </w:r>
      <w:proofErr w:type="spellStart"/>
      <w:r w:rsidR="007A636A" w:rsidRPr="0075408C">
        <w:rPr>
          <w:color w:val="auto"/>
        </w:rPr>
        <w:t>transparency</w:t>
      </w:r>
      <w:proofErr w:type="spellEnd"/>
      <w:r w:rsidR="007A636A" w:rsidRPr="0075408C">
        <w:rPr>
          <w:color w:val="auto"/>
        </w:rPr>
        <w:t xml:space="preserve"> in </w:t>
      </w:r>
      <w:proofErr w:type="spellStart"/>
      <w:r w:rsidR="007A636A" w:rsidRPr="0075408C">
        <w:rPr>
          <w:color w:val="auto"/>
        </w:rPr>
        <w:t>the</w:t>
      </w:r>
      <w:proofErr w:type="spellEnd"/>
      <w:r w:rsidR="007A636A" w:rsidRPr="0075408C">
        <w:rPr>
          <w:color w:val="auto"/>
        </w:rPr>
        <w:t xml:space="preserve"> </w:t>
      </w:r>
      <w:proofErr w:type="spellStart"/>
      <w:r w:rsidR="007A636A" w:rsidRPr="0075408C">
        <w:rPr>
          <w:color w:val="auto"/>
        </w:rPr>
        <w:t>European</w:t>
      </w:r>
      <w:proofErr w:type="spellEnd"/>
      <w:r w:rsidR="007A636A" w:rsidRPr="0075408C">
        <w:rPr>
          <w:color w:val="auto"/>
        </w:rPr>
        <w:t xml:space="preserve"> Union. Maastricht, </w:t>
      </w:r>
      <w:proofErr w:type="spellStart"/>
      <w:r w:rsidR="007A636A" w:rsidRPr="0075408C">
        <w:rPr>
          <w:color w:val="auto"/>
        </w:rPr>
        <w:t>Netherlands</w:t>
      </w:r>
      <w:proofErr w:type="spellEnd"/>
      <w:r w:rsidR="007A636A" w:rsidRPr="0075408C">
        <w:rPr>
          <w:color w:val="auto"/>
        </w:rPr>
        <w:t xml:space="preserve">: </w:t>
      </w:r>
      <w:proofErr w:type="spellStart"/>
      <w:r w:rsidR="007A636A" w:rsidRPr="0075408C">
        <w:rPr>
          <w:color w:val="auto"/>
        </w:rPr>
        <w:t>European</w:t>
      </w:r>
      <w:proofErr w:type="spellEnd"/>
      <w:r w:rsidR="007A636A" w:rsidRPr="0075408C">
        <w:rPr>
          <w:color w:val="auto"/>
        </w:rPr>
        <w:t xml:space="preserve"> </w:t>
      </w:r>
      <w:proofErr w:type="spellStart"/>
      <w:r w:rsidR="007A636A" w:rsidRPr="0075408C">
        <w:rPr>
          <w:color w:val="auto"/>
        </w:rPr>
        <w:t>Institute</w:t>
      </w:r>
      <w:proofErr w:type="spellEnd"/>
      <w:r w:rsidR="007A636A" w:rsidRPr="0075408C">
        <w:rPr>
          <w:color w:val="auto"/>
        </w:rPr>
        <w:t xml:space="preserve"> </w:t>
      </w:r>
      <w:proofErr w:type="spellStart"/>
      <w:r w:rsidR="007A636A" w:rsidRPr="0075408C">
        <w:rPr>
          <w:color w:val="auto"/>
        </w:rPr>
        <w:t>of</w:t>
      </w:r>
      <w:proofErr w:type="spellEnd"/>
      <w:r w:rsidR="007A636A" w:rsidRPr="0075408C">
        <w:rPr>
          <w:color w:val="auto"/>
        </w:rPr>
        <w:t xml:space="preserve"> </w:t>
      </w:r>
      <w:proofErr w:type="spellStart"/>
      <w:r w:rsidR="007A636A" w:rsidRPr="0075408C">
        <w:rPr>
          <w:color w:val="auto"/>
        </w:rPr>
        <w:t>Public</w:t>
      </w:r>
      <w:proofErr w:type="spellEnd"/>
      <w:r w:rsidR="007A636A" w:rsidRPr="0075408C">
        <w:rPr>
          <w:color w:val="auto"/>
        </w:rPr>
        <w:t xml:space="preserve"> </w:t>
      </w:r>
      <w:proofErr w:type="spellStart"/>
      <w:r w:rsidR="007A636A" w:rsidRPr="0075408C">
        <w:rPr>
          <w:color w:val="auto"/>
        </w:rPr>
        <w:t>Administration</w:t>
      </w:r>
      <w:proofErr w:type="spellEnd"/>
      <w:r w:rsidR="007A636A" w:rsidRPr="0075408C">
        <w:rPr>
          <w:color w:val="auto"/>
        </w:rPr>
        <w:t>, p. 169, 1998.</w:t>
      </w:r>
    </w:p>
    <w:p w14:paraId="5B47729A" w14:textId="77777777" w:rsidR="00981EAD" w:rsidRPr="0075408C" w:rsidRDefault="00981EAD" w:rsidP="00981EAD">
      <w:pPr>
        <w:ind w:firstLine="0"/>
        <w:jc w:val="left"/>
        <w:rPr>
          <w:color w:val="auto"/>
        </w:rPr>
      </w:pPr>
      <w:r w:rsidRPr="0075408C">
        <w:rPr>
          <w:color w:val="auto"/>
        </w:rPr>
        <w:t>MENDEL, T. Liberdade de informação: um estudo de direito comparado. Brasília: UNESCO. 2009.</w:t>
      </w:r>
    </w:p>
    <w:p w14:paraId="089857F5" w14:textId="77777777" w:rsidR="00EB614C" w:rsidRPr="0075408C" w:rsidRDefault="00EB614C" w:rsidP="00EB614C">
      <w:pPr>
        <w:ind w:firstLine="0"/>
        <w:jc w:val="left"/>
        <w:rPr>
          <w:color w:val="auto"/>
          <w:lang w:val="en-US"/>
        </w:rPr>
      </w:pPr>
      <w:r w:rsidRPr="0075408C">
        <w:rPr>
          <w:color w:val="auto"/>
          <w:lang w:val="en-US"/>
        </w:rPr>
        <w:lastRenderedPageBreak/>
        <w:t>MACHLUP, Fritz. Semantic quirks in studies of information. In: MACHLUP, F.; MANSFIELD, U. (Ed.). The Study of information: Interdisciplinary messages. New York, NY: Wiley, 1983.</w:t>
      </w:r>
    </w:p>
    <w:p w14:paraId="31B1ADF9" w14:textId="77777777" w:rsidR="00981EAD" w:rsidRPr="0075408C" w:rsidRDefault="00981EAD" w:rsidP="00981EAD">
      <w:pPr>
        <w:ind w:firstLine="0"/>
        <w:jc w:val="left"/>
        <w:rPr>
          <w:color w:val="auto"/>
        </w:rPr>
      </w:pPr>
      <w:r w:rsidRPr="0075408C">
        <w:rPr>
          <w:color w:val="auto"/>
        </w:rPr>
        <w:t>MOREIRA, Silvana. Controle Social e internet: análise de portais legislativos da América Latina. Dissertação (Mestrado em Comunicação e Cultura Contemporâneas) – Programa de Pós-Graduação em Comunicação e Cultura Contemporâneas, Universidade Federal da Bahia (UFBA), Salvador, 2013.</w:t>
      </w:r>
    </w:p>
    <w:p w14:paraId="766968E0" w14:textId="77777777" w:rsidR="00521507" w:rsidRPr="0075408C" w:rsidRDefault="00521507" w:rsidP="00521507">
      <w:pPr>
        <w:ind w:firstLine="0"/>
        <w:jc w:val="left"/>
        <w:rPr>
          <w:color w:val="auto"/>
        </w:rPr>
      </w:pPr>
      <w:r w:rsidRPr="0075408C">
        <w:rPr>
          <w:color w:val="auto"/>
        </w:rPr>
        <w:t>PECORARO, C.B.F. Comunicação e transparência: o Facebook das prefeituras do Rio de Janeiro e São Paulo. Dissertação (Mestrado em Comunicação Social) – Programa de Pós-Graduação em Comunicação Social, Pontifícia Universidade Católica do Rio de Janeiro (PUC), Rio de Janeiro. 2018.</w:t>
      </w:r>
    </w:p>
    <w:p w14:paraId="5385CFB9" w14:textId="77777777" w:rsidR="00521507" w:rsidRPr="0075408C" w:rsidRDefault="00521507" w:rsidP="00521507">
      <w:pPr>
        <w:ind w:firstLine="0"/>
        <w:jc w:val="left"/>
        <w:rPr>
          <w:color w:val="auto"/>
        </w:rPr>
      </w:pPr>
      <w:r w:rsidRPr="0075408C">
        <w:rPr>
          <w:color w:val="auto"/>
        </w:rPr>
        <w:t>SANTOS, A. R. Metodologia científica: a construção do conhecimento. 6ª edição, revisada. Rio de Janeiro: DP&amp;A. 2004</w:t>
      </w:r>
    </w:p>
    <w:p w14:paraId="40EA5823" w14:textId="77777777" w:rsidR="00C91136" w:rsidRPr="0075408C" w:rsidRDefault="00C91136" w:rsidP="00C91136">
      <w:pPr>
        <w:ind w:firstLine="0"/>
        <w:jc w:val="left"/>
        <w:rPr>
          <w:color w:val="auto"/>
        </w:rPr>
      </w:pPr>
      <w:r w:rsidRPr="0075408C">
        <w:rPr>
          <w:color w:val="auto"/>
        </w:rPr>
        <w:t xml:space="preserve">SHANNON, Claude </w:t>
      </w:r>
      <w:proofErr w:type="spellStart"/>
      <w:r w:rsidRPr="0075408C">
        <w:rPr>
          <w:color w:val="auto"/>
        </w:rPr>
        <w:t>Elwood</w:t>
      </w:r>
      <w:proofErr w:type="spellEnd"/>
      <w:r w:rsidRPr="0075408C">
        <w:rPr>
          <w:color w:val="auto"/>
        </w:rPr>
        <w:t xml:space="preserve">. A </w:t>
      </w:r>
      <w:proofErr w:type="spellStart"/>
      <w:r w:rsidRPr="0075408C">
        <w:rPr>
          <w:color w:val="auto"/>
        </w:rPr>
        <w:t>Mathematical</w:t>
      </w:r>
      <w:proofErr w:type="spellEnd"/>
      <w:r w:rsidRPr="0075408C">
        <w:rPr>
          <w:color w:val="auto"/>
        </w:rPr>
        <w:t xml:space="preserve"> </w:t>
      </w:r>
      <w:proofErr w:type="spellStart"/>
      <w:r w:rsidRPr="0075408C">
        <w:rPr>
          <w:color w:val="auto"/>
        </w:rPr>
        <w:t>Theory</w:t>
      </w:r>
      <w:proofErr w:type="spellEnd"/>
      <w:r w:rsidRPr="0075408C">
        <w:rPr>
          <w:color w:val="auto"/>
        </w:rPr>
        <w:t xml:space="preserve"> </w:t>
      </w:r>
      <w:proofErr w:type="spellStart"/>
      <w:r w:rsidRPr="0075408C">
        <w:rPr>
          <w:color w:val="auto"/>
        </w:rPr>
        <w:t>of</w:t>
      </w:r>
      <w:proofErr w:type="spellEnd"/>
      <w:r w:rsidRPr="0075408C">
        <w:rPr>
          <w:color w:val="auto"/>
        </w:rPr>
        <w:t xml:space="preserve"> Communication. In: The Bell System </w:t>
      </w:r>
      <w:proofErr w:type="spellStart"/>
      <w:r w:rsidRPr="0075408C">
        <w:rPr>
          <w:color w:val="auto"/>
        </w:rPr>
        <w:t>Technical</w:t>
      </w:r>
      <w:proofErr w:type="spellEnd"/>
      <w:r w:rsidRPr="0075408C">
        <w:rPr>
          <w:color w:val="auto"/>
        </w:rPr>
        <w:t xml:space="preserve"> </w:t>
      </w:r>
      <w:proofErr w:type="spellStart"/>
      <w:r w:rsidRPr="0075408C">
        <w:rPr>
          <w:color w:val="auto"/>
        </w:rPr>
        <w:t>Journal</w:t>
      </w:r>
      <w:proofErr w:type="spellEnd"/>
      <w:r w:rsidRPr="0075408C">
        <w:rPr>
          <w:color w:val="auto"/>
        </w:rPr>
        <w:t>, Vol. XXVII, no. 3, 1948.</w:t>
      </w:r>
    </w:p>
    <w:p w14:paraId="79441891" w14:textId="77777777" w:rsidR="00C91136" w:rsidRPr="0075408C" w:rsidRDefault="00C91136" w:rsidP="00C91136">
      <w:pPr>
        <w:ind w:firstLine="0"/>
        <w:jc w:val="left"/>
        <w:rPr>
          <w:color w:val="auto"/>
          <w:lang w:val="en-US"/>
        </w:rPr>
      </w:pPr>
      <w:r w:rsidRPr="0075408C">
        <w:rPr>
          <w:color w:val="auto"/>
          <w:lang w:val="en-US"/>
        </w:rPr>
        <w:t>SHANNON, Claude Elwood; WEAVER, Warren. The Mathematical Theory of Communication. Urbana and Chicago: University of Illinois Press, 1963.</w:t>
      </w:r>
    </w:p>
    <w:p w14:paraId="0520340E" w14:textId="2AE35E9C" w:rsidR="00001B4A" w:rsidRPr="0075408C" w:rsidRDefault="00001B4A" w:rsidP="00001B4A">
      <w:pPr>
        <w:ind w:firstLine="0"/>
        <w:jc w:val="left"/>
        <w:rPr>
          <w:color w:val="auto"/>
        </w:rPr>
      </w:pPr>
      <w:r w:rsidRPr="0075408C">
        <w:rPr>
          <w:color w:val="auto"/>
        </w:rPr>
        <w:t>SILVA, J.L.C. A teoria matemática da comunicação na ciência da informação: propondo uma nova relação entre sujeitos da informação. In: Pesquisa Brasileira em Ciência da Informação e Biblioteconomia (PBCIB), João Pessoa, v. 11, n. 1, p. 203-217, 2016.</w:t>
      </w:r>
    </w:p>
    <w:p w14:paraId="470723E2" w14:textId="271F7FAB" w:rsidR="003E6116" w:rsidRPr="0075408C" w:rsidRDefault="003E6116" w:rsidP="003E6116">
      <w:pPr>
        <w:ind w:firstLine="0"/>
        <w:jc w:val="left"/>
        <w:rPr>
          <w:color w:val="auto"/>
        </w:rPr>
      </w:pPr>
      <w:r w:rsidRPr="0075408C">
        <w:rPr>
          <w:color w:val="auto"/>
        </w:rPr>
        <w:t>SILVA, S</w:t>
      </w:r>
      <w:r w:rsidR="0026265A" w:rsidRPr="0075408C">
        <w:rPr>
          <w:color w:val="auto"/>
        </w:rPr>
        <w:t>.</w:t>
      </w:r>
      <w:r w:rsidRPr="0075408C">
        <w:rPr>
          <w:color w:val="auto"/>
        </w:rPr>
        <w:t xml:space="preserve">P. Democracia online: pressupostos teóricos e inovações estruturais na comunicação do Estado contemporâneo. In: </w:t>
      </w:r>
      <w:r w:rsidR="00600D61" w:rsidRPr="0075408C">
        <w:rPr>
          <w:color w:val="auto"/>
        </w:rPr>
        <w:t xml:space="preserve">Congresso da </w:t>
      </w:r>
      <w:r w:rsidR="00C86321" w:rsidRPr="0075408C">
        <w:rPr>
          <w:color w:val="auto"/>
        </w:rPr>
        <w:t>Associação Brasileira de Pesquisadores em Comunicação e Política (</w:t>
      </w:r>
      <w:proofErr w:type="spellStart"/>
      <w:r w:rsidR="00C86321" w:rsidRPr="0075408C">
        <w:rPr>
          <w:color w:val="auto"/>
        </w:rPr>
        <w:t>Compolítica</w:t>
      </w:r>
      <w:proofErr w:type="spellEnd"/>
      <w:r w:rsidR="00CA682C" w:rsidRPr="0075408C">
        <w:rPr>
          <w:color w:val="auto"/>
        </w:rPr>
        <w:t>)</w:t>
      </w:r>
      <w:r w:rsidRPr="0075408C">
        <w:rPr>
          <w:color w:val="auto"/>
        </w:rPr>
        <w:t>. São Paulo: Pontifícia Universidade Católica de São Paulo, 2009.</w:t>
      </w:r>
    </w:p>
    <w:p w14:paraId="4DFD31D5" w14:textId="77777777" w:rsidR="00E11B91" w:rsidRPr="0075408C" w:rsidRDefault="00E11B91" w:rsidP="00E11B91">
      <w:pPr>
        <w:ind w:firstLine="0"/>
        <w:jc w:val="left"/>
        <w:rPr>
          <w:color w:val="auto"/>
        </w:rPr>
      </w:pPr>
      <w:r w:rsidRPr="0075408C">
        <w:rPr>
          <w:color w:val="auto"/>
        </w:rPr>
        <w:t>STN. Secretaria do Tesouro Nacional. Anexos RTN Dez 2017. Disponível em: &lt;https://sisweb.tesouro.gov.br/apex/f?p=2501:9::::9:P9_ID_PUBLICACAO_ANEXO:28</w:t>
      </w:r>
      <w:proofErr w:type="gramStart"/>
      <w:r w:rsidRPr="0075408C">
        <w:rPr>
          <w:color w:val="auto"/>
        </w:rPr>
        <w:t>&gt; .</w:t>
      </w:r>
      <w:proofErr w:type="gramEnd"/>
      <w:r w:rsidRPr="0075408C">
        <w:rPr>
          <w:color w:val="auto"/>
        </w:rPr>
        <w:t xml:space="preserve"> Acesso em: 7 jul. 2019.</w:t>
      </w:r>
    </w:p>
    <w:p w14:paraId="04EBC499" w14:textId="5812C98F" w:rsidR="00E11B91" w:rsidRPr="0075408C" w:rsidRDefault="00A30F30" w:rsidP="00E11B91">
      <w:pPr>
        <w:pStyle w:val="Bibliografia"/>
        <w:spacing w:after="0" w:line="360" w:lineRule="auto"/>
        <w:ind w:firstLine="0"/>
        <w:jc w:val="left"/>
        <w:rPr>
          <w:noProof/>
          <w:color w:val="auto"/>
        </w:rPr>
      </w:pPr>
      <w:r w:rsidRPr="0075408C">
        <w:rPr>
          <w:noProof/>
          <w:color w:val="auto"/>
        </w:rPr>
        <w:t>____</w:t>
      </w:r>
      <w:r w:rsidR="00E11B91" w:rsidRPr="0075408C">
        <w:rPr>
          <w:noProof/>
          <w:color w:val="auto"/>
        </w:rPr>
        <w:t xml:space="preserve">. Secretaria do Tesouro Nacional. Boletim de Finanças dos Entes Subnacionais 2017. </w:t>
      </w:r>
      <w:r w:rsidR="00D57808">
        <w:rPr>
          <w:noProof/>
          <w:color w:val="auto"/>
        </w:rPr>
        <w:t xml:space="preserve">Brasília, 2008. </w:t>
      </w:r>
      <w:r w:rsidR="00E11B91" w:rsidRPr="0075408C">
        <w:rPr>
          <w:noProof/>
          <w:color w:val="auto"/>
        </w:rPr>
        <w:t>Disponível em: &lt;http://sisweb.tesouro.gov.br/apex/cosis/legis/obtem_arquivo/24151:823551&gt;. Acesso em: 7 jul. 2019.</w:t>
      </w:r>
    </w:p>
    <w:p w14:paraId="13242409" w14:textId="3CFF6E4D" w:rsidR="00B36125" w:rsidRPr="0075408C" w:rsidRDefault="00A30F30" w:rsidP="00B36125">
      <w:pPr>
        <w:ind w:firstLine="0"/>
        <w:jc w:val="left"/>
        <w:rPr>
          <w:color w:val="auto"/>
        </w:rPr>
      </w:pPr>
      <w:r w:rsidRPr="0075408C">
        <w:rPr>
          <w:noProof/>
          <w:color w:val="auto"/>
        </w:rPr>
        <w:t>____</w:t>
      </w:r>
      <w:r w:rsidR="00B36125" w:rsidRPr="0075408C">
        <w:rPr>
          <w:color w:val="auto"/>
        </w:rPr>
        <w:t xml:space="preserve">. Secretaria do Tesouro Nacional. Estatísticas de Finanças Públicas: Quadros estatísticos do Governo Geral. 2019. Disponível em: </w:t>
      </w:r>
      <w:r w:rsidR="00B36125" w:rsidRPr="0075408C">
        <w:rPr>
          <w:color w:val="auto"/>
        </w:rPr>
        <w:lastRenderedPageBreak/>
        <w:t>&lt;https://sisweb.tesouro.gov.br/apex/f?p=2501:9::::9:P9_ID_PUBLICACAO:30091&gt;. Acesso em: 7 jul. 2019.</w:t>
      </w:r>
    </w:p>
    <w:p w14:paraId="625DED71" w14:textId="2E374881" w:rsidR="006F3E88" w:rsidRPr="0075408C" w:rsidRDefault="00A30F30" w:rsidP="006F3E88">
      <w:pPr>
        <w:ind w:firstLine="0"/>
        <w:jc w:val="left"/>
        <w:rPr>
          <w:color w:val="auto"/>
        </w:rPr>
      </w:pPr>
      <w:r w:rsidRPr="0075408C">
        <w:rPr>
          <w:noProof/>
          <w:color w:val="auto"/>
        </w:rPr>
        <w:t>____</w:t>
      </w:r>
      <w:r w:rsidR="006F3E88" w:rsidRPr="0075408C">
        <w:rPr>
          <w:color w:val="auto"/>
        </w:rPr>
        <w:t>. Secretaria do Tesouro Nacional. Estatísticas Fiscais Trimestrais, 4º Trimestre de 2017. Disponível em: &lt;https://cdn.tesouro.gov.br/sistemas-internos/apex/producao/sistemas/thot/arquivos/publicacoes/28675_1684073/Boletim_EFP_2017_IV.pdf?v=8645&gt;. Acesso em: 7 jul. 2019.</w:t>
      </w:r>
    </w:p>
    <w:p w14:paraId="26A12DF5" w14:textId="77777777" w:rsidR="004A5D05" w:rsidRDefault="00A30F30" w:rsidP="00564A3F">
      <w:pPr>
        <w:pStyle w:val="Bibliografia"/>
        <w:spacing w:after="0" w:line="360" w:lineRule="auto"/>
        <w:ind w:firstLine="0"/>
        <w:jc w:val="left"/>
        <w:rPr>
          <w:noProof/>
          <w:color w:val="auto"/>
        </w:rPr>
      </w:pPr>
      <w:r w:rsidRPr="0075408C">
        <w:rPr>
          <w:noProof/>
          <w:color w:val="auto"/>
        </w:rPr>
        <w:t>____</w:t>
      </w:r>
      <w:r w:rsidR="00B36125" w:rsidRPr="0075408C">
        <w:rPr>
          <w:noProof/>
          <w:color w:val="auto"/>
        </w:rPr>
        <w:t xml:space="preserve">. Secretaria do Tesouro Nacional. </w:t>
      </w:r>
      <w:r w:rsidR="00B36125" w:rsidRPr="0075408C">
        <w:rPr>
          <w:iCs/>
          <w:noProof/>
          <w:color w:val="auto"/>
        </w:rPr>
        <w:t>Manual de Demonstrativos Fiscais - 8ª Edição.</w:t>
      </w:r>
      <w:r w:rsidR="00B36125" w:rsidRPr="0075408C">
        <w:rPr>
          <w:noProof/>
          <w:color w:val="auto"/>
        </w:rPr>
        <w:t xml:space="preserve"> Brasília: Tesouro Nacional, 2017.</w:t>
      </w:r>
      <w:r w:rsidR="004A5D05" w:rsidRPr="004A5D05">
        <w:rPr>
          <w:noProof/>
          <w:color w:val="auto"/>
        </w:rPr>
        <w:t xml:space="preserve"> </w:t>
      </w:r>
    </w:p>
    <w:p w14:paraId="0365C9F4" w14:textId="6F6F2690" w:rsidR="00564A3F" w:rsidRPr="00564A3F" w:rsidRDefault="004A5D05" w:rsidP="00564A3F">
      <w:pPr>
        <w:pStyle w:val="Bibliografia"/>
        <w:spacing w:after="0" w:line="360" w:lineRule="auto"/>
        <w:ind w:firstLine="0"/>
        <w:jc w:val="left"/>
        <w:rPr>
          <w:noProof/>
          <w:color w:val="auto"/>
        </w:rPr>
      </w:pPr>
      <w:r w:rsidRPr="0075408C">
        <w:rPr>
          <w:noProof/>
          <w:color w:val="auto"/>
        </w:rPr>
        <w:t>____</w:t>
      </w:r>
      <w:r w:rsidRPr="0075408C">
        <w:rPr>
          <w:color w:val="auto"/>
        </w:rPr>
        <w:t xml:space="preserve">. Secretaria do Tesouro Nacional. Manual de Estatísticas Fiscais. </w:t>
      </w:r>
      <w:r w:rsidR="00C8366B">
        <w:rPr>
          <w:color w:val="auto"/>
        </w:rPr>
        <w:t>Brasília, 2015</w:t>
      </w:r>
      <w:r w:rsidRPr="0075408C">
        <w:rPr>
          <w:color w:val="auto"/>
        </w:rPr>
        <w:t>. Disponível em:</w:t>
      </w:r>
      <w:r w:rsidR="00C8366B">
        <w:rPr>
          <w:color w:val="auto"/>
        </w:rPr>
        <w:t xml:space="preserve"> </w:t>
      </w:r>
      <w:r w:rsidR="000A7F18">
        <w:rPr>
          <w:color w:val="auto"/>
        </w:rPr>
        <w:t>&lt;</w:t>
      </w:r>
      <w:r w:rsidR="000A7F18" w:rsidRPr="000A7F18">
        <w:rPr>
          <w:color w:val="auto"/>
        </w:rPr>
        <w:t>https://www.tesouro.fazenda.gov.br/documents/10180/476865/PFI_Manual_Estatisticas_Fiscais/945c2ec4-a584-4823-9375-ffb22c070f78</w:t>
      </w:r>
      <w:r w:rsidR="000A7F18">
        <w:rPr>
          <w:color w:val="auto"/>
        </w:rPr>
        <w:t>&gt;.</w:t>
      </w:r>
      <w:r w:rsidR="00C56C46">
        <w:rPr>
          <w:color w:val="auto"/>
        </w:rPr>
        <w:t>Acesso em: 7 jul. 2019.</w:t>
      </w:r>
    </w:p>
    <w:p w14:paraId="24C59C85" w14:textId="7DF827F5" w:rsidR="00ED7001" w:rsidRPr="0075408C" w:rsidRDefault="00A30F30" w:rsidP="00ED7001">
      <w:pPr>
        <w:ind w:firstLine="0"/>
        <w:jc w:val="left"/>
        <w:rPr>
          <w:color w:val="auto"/>
        </w:rPr>
      </w:pPr>
      <w:r w:rsidRPr="0075408C">
        <w:rPr>
          <w:noProof/>
          <w:color w:val="auto"/>
        </w:rPr>
        <w:t>____</w:t>
      </w:r>
      <w:r w:rsidR="00ED7001" w:rsidRPr="0075408C">
        <w:rPr>
          <w:color w:val="auto"/>
        </w:rPr>
        <w:t>. Secretaria do Tesouro Nacional. Manual de Estatísticas Fiscais do Boletim Resultado do Tesouro Nacional. 2016. Disponível em: &lt;http://www.tesouro.fazenda.gov.br/documents/10180/246449/Manual+de+Estat%C3%ADsticas+do+Boletim+Resultado+do+Tesouro+Nacional.pdf/d760b0b0-a98a-4f44-ae61-29e2af77f3ba&gt;. Acesso em: 7 jul. 2019</w:t>
      </w:r>
      <w:r w:rsidR="005E39B2" w:rsidRPr="0075408C">
        <w:rPr>
          <w:color w:val="auto"/>
        </w:rPr>
        <w:t>.</w:t>
      </w:r>
    </w:p>
    <w:p w14:paraId="557ACC6C" w14:textId="6A8927F4" w:rsidR="002C0838" w:rsidRPr="0075408C" w:rsidRDefault="002C0838" w:rsidP="00454F71">
      <w:pPr>
        <w:pStyle w:val="Bibliografia"/>
        <w:spacing w:after="0" w:line="360" w:lineRule="auto"/>
        <w:ind w:firstLine="0"/>
        <w:jc w:val="left"/>
        <w:rPr>
          <w:noProof/>
          <w:color w:val="auto"/>
        </w:rPr>
      </w:pPr>
      <w:r w:rsidRPr="0075408C">
        <w:rPr>
          <w:iCs/>
          <w:noProof/>
          <w:color w:val="auto"/>
        </w:rPr>
        <w:t>____. Secretaria do Tesouro Nacional</w:t>
      </w:r>
      <w:r w:rsidRPr="0075408C">
        <w:rPr>
          <w:noProof/>
          <w:color w:val="auto"/>
        </w:rPr>
        <w:t>. Missão, Visão e Valores do Tesouro Nacional. Disponível em: &lt;http://www.tesouro.fazenda.gov.br&gt;. Acesso em: 4 jul. 2019</w:t>
      </w:r>
      <w:r w:rsidR="00611662" w:rsidRPr="0075408C">
        <w:rPr>
          <w:noProof/>
          <w:color w:val="auto"/>
        </w:rPr>
        <w:t>.</w:t>
      </w:r>
    </w:p>
    <w:p w14:paraId="63DBEA7B" w14:textId="087D7054" w:rsidR="00ED7001" w:rsidRPr="0075408C" w:rsidRDefault="00A30F30" w:rsidP="00ED7001">
      <w:pPr>
        <w:ind w:firstLine="0"/>
        <w:jc w:val="left"/>
        <w:rPr>
          <w:color w:val="auto"/>
        </w:rPr>
      </w:pPr>
      <w:r w:rsidRPr="0075408C">
        <w:rPr>
          <w:noProof/>
          <w:color w:val="auto"/>
        </w:rPr>
        <w:t>____</w:t>
      </w:r>
      <w:r w:rsidR="00ED7001" w:rsidRPr="0075408C">
        <w:rPr>
          <w:color w:val="auto"/>
        </w:rPr>
        <w:t>. Secretaria do Tesouro Nacional. Resultado do Tesouro Nacional, vol. 23, n. 12, dezembro/2017. Brasília: 2018. Disponível em: &lt; https://cdn.tesouro.gov.br/sistemas-internos/apex/producao/sistemas/thot/arquivos/publicacoes/25617_889527/Nimdez2017.pdf?v=9662&gt;. Acesso em: 7 jul. 2019.</w:t>
      </w:r>
    </w:p>
    <w:p w14:paraId="5948DE08" w14:textId="7CBC1637" w:rsidR="00521507" w:rsidRPr="0075408C" w:rsidRDefault="00521507" w:rsidP="00521507">
      <w:pPr>
        <w:ind w:firstLine="0"/>
        <w:jc w:val="left"/>
        <w:rPr>
          <w:color w:val="auto"/>
        </w:rPr>
      </w:pPr>
      <w:r w:rsidRPr="0075408C">
        <w:rPr>
          <w:color w:val="auto"/>
        </w:rPr>
        <w:t xml:space="preserve">STONIER, T. </w:t>
      </w:r>
      <w:proofErr w:type="spellStart"/>
      <w:r w:rsidRPr="0075408C">
        <w:rPr>
          <w:color w:val="auto"/>
        </w:rPr>
        <w:t>Information</w:t>
      </w:r>
      <w:proofErr w:type="spellEnd"/>
      <w:r w:rsidRPr="0075408C">
        <w:rPr>
          <w:color w:val="auto"/>
        </w:rPr>
        <w:t xml:space="preserve"> </w:t>
      </w:r>
      <w:proofErr w:type="spellStart"/>
      <w:r w:rsidRPr="0075408C">
        <w:rPr>
          <w:color w:val="auto"/>
        </w:rPr>
        <w:t>and</w:t>
      </w:r>
      <w:proofErr w:type="spellEnd"/>
      <w:r w:rsidRPr="0075408C">
        <w:rPr>
          <w:color w:val="auto"/>
        </w:rPr>
        <w:t xml:space="preserve"> </w:t>
      </w:r>
      <w:proofErr w:type="spellStart"/>
      <w:r w:rsidRPr="0075408C">
        <w:rPr>
          <w:color w:val="auto"/>
        </w:rPr>
        <w:t>meaning</w:t>
      </w:r>
      <w:proofErr w:type="spellEnd"/>
      <w:r w:rsidRPr="0075408C">
        <w:rPr>
          <w:color w:val="auto"/>
        </w:rPr>
        <w:t xml:space="preserve">: </w:t>
      </w:r>
      <w:proofErr w:type="spellStart"/>
      <w:r w:rsidRPr="0075408C">
        <w:rPr>
          <w:color w:val="auto"/>
        </w:rPr>
        <w:t>an</w:t>
      </w:r>
      <w:proofErr w:type="spellEnd"/>
      <w:r w:rsidRPr="0075408C">
        <w:rPr>
          <w:color w:val="auto"/>
        </w:rPr>
        <w:t xml:space="preserve"> </w:t>
      </w:r>
      <w:proofErr w:type="spellStart"/>
      <w:r w:rsidRPr="0075408C">
        <w:rPr>
          <w:color w:val="auto"/>
        </w:rPr>
        <w:t>evolutionary</w:t>
      </w:r>
      <w:proofErr w:type="spellEnd"/>
      <w:r w:rsidRPr="0075408C">
        <w:rPr>
          <w:color w:val="auto"/>
        </w:rPr>
        <w:t xml:space="preserve"> perspective. 1a. ed. Nottingham: Springer-</w:t>
      </w:r>
      <w:proofErr w:type="spellStart"/>
      <w:r w:rsidRPr="0075408C">
        <w:rPr>
          <w:color w:val="auto"/>
        </w:rPr>
        <w:t>Verlag</w:t>
      </w:r>
      <w:proofErr w:type="spellEnd"/>
      <w:r w:rsidR="00867C00" w:rsidRPr="0075408C">
        <w:rPr>
          <w:color w:val="auto"/>
        </w:rPr>
        <w:t>,</w:t>
      </w:r>
      <w:r w:rsidRPr="0075408C">
        <w:rPr>
          <w:color w:val="auto"/>
        </w:rPr>
        <w:t xml:space="preserve"> 1997</w:t>
      </w:r>
    </w:p>
    <w:p w14:paraId="5BFE1FD1" w14:textId="15671199" w:rsidR="00D91B3B" w:rsidRPr="0075408C" w:rsidRDefault="008D37F3" w:rsidP="00E15449">
      <w:pPr>
        <w:ind w:firstLine="0"/>
        <w:jc w:val="left"/>
        <w:rPr>
          <w:color w:val="auto"/>
        </w:rPr>
      </w:pPr>
      <w:r w:rsidRPr="0075408C">
        <w:rPr>
          <w:color w:val="auto"/>
        </w:rPr>
        <w:t xml:space="preserve">WERSIG, </w:t>
      </w:r>
      <w:proofErr w:type="spellStart"/>
      <w:r w:rsidR="00092655" w:rsidRPr="0075408C">
        <w:rPr>
          <w:color w:val="auto"/>
        </w:rPr>
        <w:t>Gernot</w:t>
      </w:r>
      <w:proofErr w:type="spellEnd"/>
      <w:r w:rsidR="00092655" w:rsidRPr="0075408C">
        <w:rPr>
          <w:color w:val="auto"/>
        </w:rPr>
        <w:t xml:space="preserve">. </w:t>
      </w:r>
      <w:proofErr w:type="spellStart"/>
      <w:r w:rsidR="00092655" w:rsidRPr="0075408C">
        <w:rPr>
          <w:color w:val="auto"/>
        </w:rPr>
        <w:t>Information</w:t>
      </w:r>
      <w:proofErr w:type="spellEnd"/>
      <w:r w:rsidR="00092655" w:rsidRPr="0075408C">
        <w:rPr>
          <w:color w:val="auto"/>
        </w:rPr>
        <w:t xml:space="preserve"> </w:t>
      </w:r>
      <w:proofErr w:type="spellStart"/>
      <w:r w:rsidR="00092655" w:rsidRPr="0075408C">
        <w:rPr>
          <w:color w:val="auto"/>
        </w:rPr>
        <w:t>theory</w:t>
      </w:r>
      <w:proofErr w:type="spellEnd"/>
      <w:r w:rsidR="00092655" w:rsidRPr="0075408C">
        <w:rPr>
          <w:color w:val="auto"/>
        </w:rPr>
        <w:t>. In: FEATHER, J</w:t>
      </w:r>
      <w:r w:rsidR="00C82410" w:rsidRPr="0075408C">
        <w:rPr>
          <w:color w:val="auto"/>
        </w:rPr>
        <w:t>.</w:t>
      </w:r>
      <w:r w:rsidR="00092655" w:rsidRPr="0075408C">
        <w:rPr>
          <w:color w:val="auto"/>
        </w:rPr>
        <w:t>; STURGES, P</w:t>
      </w:r>
      <w:r w:rsidR="00C82410" w:rsidRPr="0075408C">
        <w:rPr>
          <w:color w:val="auto"/>
        </w:rPr>
        <w:t xml:space="preserve">. (Ed.). </w:t>
      </w:r>
      <w:proofErr w:type="spellStart"/>
      <w:r w:rsidR="00C82410" w:rsidRPr="0075408C">
        <w:rPr>
          <w:color w:val="auto"/>
        </w:rPr>
        <w:t>International</w:t>
      </w:r>
      <w:proofErr w:type="spellEnd"/>
      <w:r w:rsidR="00C82410" w:rsidRPr="0075408C">
        <w:rPr>
          <w:color w:val="auto"/>
        </w:rPr>
        <w:t xml:space="preserve"> </w:t>
      </w:r>
      <w:proofErr w:type="spellStart"/>
      <w:r w:rsidR="00C82410" w:rsidRPr="0075408C">
        <w:rPr>
          <w:color w:val="auto"/>
        </w:rPr>
        <w:t>encyclopedia</w:t>
      </w:r>
      <w:proofErr w:type="spellEnd"/>
      <w:r w:rsidR="00C82410" w:rsidRPr="0075408C">
        <w:rPr>
          <w:color w:val="auto"/>
        </w:rPr>
        <w:t xml:space="preserve"> </w:t>
      </w:r>
      <w:proofErr w:type="spellStart"/>
      <w:r w:rsidR="00C82410" w:rsidRPr="0075408C">
        <w:rPr>
          <w:color w:val="auto"/>
        </w:rPr>
        <w:t>of</w:t>
      </w:r>
      <w:proofErr w:type="spellEnd"/>
      <w:r w:rsidR="00C82410" w:rsidRPr="0075408C">
        <w:rPr>
          <w:color w:val="auto"/>
        </w:rPr>
        <w:t xml:space="preserve"> </w:t>
      </w:r>
      <w:proofErr w:type="spellStart"/>
      <w:r w:rsidR="00C82410" w:rsidRPr="0075408C">
        <w:rPr>
          <w:color w:val="auto"/>
        </w:rPr>
        <w:t>library</w:t>
      </w:r>
      <w:proofErr w:type="spellEnd"/>
      <w:r w:rsidR="00C82410" w:rsidRPr="0075408C">
        <w:rPr>
          <w:color w:val="auto"/>
        </w:rPr>
        <w:t xml:space="preserve"> </w:t>
      </w:r>
      <w:proofErr w:type="spellStart"/>
      <w:r w:rsidR="00C82410" w:rsidRPr="0075408C">
        <w:rPr>
          <w:color w:val="auto"/>
        </w:rPr>
        <w:t>and</w:t>
      </w:r>
      <w:proofErr w:type="spellEnd"/>
      <w:r w:rsidR="00C82410" w:rsidRPr="0075408C">
        <w:rPr>
          <w:color w:val="auto"/>
        </w:rPr>
        <w:t xml:space="preserve"> </w:t>
      </w:r>
      <w:proofErr w:type="spellStart"/>
      <w:r w:rsidR="00C82410" w:rsidRPr="0075408C">
        <w:rPr>
          <w:color w:val="auto"/>
        </w:rPr>
        <w:t>information</w:t>
      </w:r>
      <w:r w:rsidR="00D13C99" w:rsidRPr="0075408C">
        <w:rPr>
          <w:color w:val="auto"/>
        </w:rPr>
        <w:t>s</w:t>
      </w:r>
      <w:proofErr w:type="spellEnd"/>
      <w:r w:rsidR="00D13C99" w:rsidRPr="0075408C">
        <w:rPr>
          <w:color w:val="auto"/>
        </w:rPr>
        <w:t xml:space="preserve"> </w:t>
      </w:r>
      <w:proofErr w:type="spellStart"/>
      <w:r w:rsidR="00D13C99" w:rsidRPr="0075408C">
        <w:rPr>
          <w:color w:val="auto"/>
        </w:rPr>
        <w:t>s</w:t>
      </w:r>
      <w:r w:rsidR="00C82410" w:rsidRPr="0075408C">
        <w:rPr>
          <w:color w:val="auto"/>
        </w:rPr>
        <w:t>cience</w:t>
      </w:r>
      <w:proofErr w:type="spellEnd"/>
      <w:r w:rsidR="00C82410" w:rsidRPr="0075408C">
        <w:rPr>
          <w:color w:val="auto"/>
        </w:rPr>
        <w:t>. Londo</w:t>
      </w:r>
      <w:r w:rsidR="00D13C99" w:rsidRPr="0075408C">
        <w:rPr>
          <w:color w:val="auto"/>
        </w:rPr>
        <w:t>n</w:t>
      </w:r>
      <w:r w:rsidR="00C82410" w:rsidRPr="0075408C">
        <w:rPr>
          <w:color w:val="auto"/>
        </w:rPr>
        <w:t xml:space="preserve">: </w:t>
      </w:r>
      <w:proofErr w:type="spellStart"/>
      <w:r w:rsidR="00C82410" w:rsidRPr="0075408C">
        <w:rPr>
          <w:color w:val="auto"/>
        </w:rPr>
        <w:t>Routledge</w:t>
      </w:r>
      <w:proofErr w:type="spellEnd"/>
      <w:r w:rsidR="00C82410" w:rsidRPr="0075408C">
        <w:rPr>
          <w:color w:val="auto"/>
        </w:rPr>
        <w:t>, 1996.</w:t>
      </w:r>
    </w:p>
    <w:p w14:paraId="59DC54B1" w14:textId="1DFE117C" w:rsidR="00577581" w:rsidRPr="00623F54" w:rsidRDefault="00577581" w:rsidP="004C226B">
      <w:pPr>
        <w:ind w:firstLine="0"/>
        <w:jc w:val="left"/>
        <w:rPr>
          <w:lang w:val="en-US"/>
        </w:rPr>
      </w:pPr>
    </w:p>
    <w:p w14:paraId="36F19239" w14:textId="77777777" w:rsidR="00577581" w:rsidRPr="00623F54" w:rsidRDefault="00577581" w:rsidP="006821E0">
      <w:pPr>
        <w:rPr>
          <w:lang w:val="en-US"/>
        </w:rPr>
      </w:pPr>
    </w:p>
    <w:sectPr w:rsidR="00577581" w:rsidRPr="00623F54" w:rsidSect="00183EF7">
      <w:headerReference w:type="default" r:id="rId31"/>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9C50" w14:textId="77777777" w:rsidR="00B765CB" w:rsidRDefault="00B765CB" w:rsidP="000B7B0D">
      <w:r>
        <w:separator/>
      </w:r>
    </w:p>
  </w:endnote>
  <w:endnote w:type="continuationSeparator" w:id="0">
    <w:p w14:paraId="73533BB1" w14:textId="77777777" w:rsidR="00B765CB" w:rsidRDefault="00B765CB" w:rsidP="000B7B0D">
      <w:r>
        <w:continuationSeparator/>
      </w:r>
    </w:p>
  </w:endnote>
  <w:endnote w:type="continuationNotice" w:id="1">
    <w:p w14:paraId="5A7065CC" w14:textId="77777777" w:rsidR="00B765CB" w:rsidRDefault="00B765CB" w:rsidP="000B7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6A9D" w14:textId="33C4CA76" w:rsidR="00D5260D" w:rsidRDefault="00D5260D">
    <w:pPr>
      <w:pStyle w:val="Rodap"/>
    </w:pPr>
  </w:p>
  <w:p w14:paraId="3405626A" w14:textId="77777777" w:rsidR="00351EB8" w:rsidRDefault="00351EB8" w:rsidP="000B7B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1685E" w14:textId="77777777" w:rsidR="00B765CB" w:rsidRDefault="00B765CB" w:rsidP="000B7B0D">
      <w:r>
        <w:separator/>
      </w:r>
    </w:p>
  </w:footnote>
  <w:footnote w:type="continuationSeparator" w:id="0">
    <w:p w14:paraId="4A2D52B0" w14:textId="77777777" w:rsidR="00B765CB" w:rsidRDefault="00B765CB" w:rsidP="000B7B0D">
      <w:r>
        <w:continuationSeparator/>
      </w:r>
    </w:p>
  </w:footnote>
  <w:footnote w:type="continuationNotice" w:id="1">
    <w:p w14:paraId="29A9D5DE" w14:textId="77777777" w:rsidR="00B765CB" w:rsidRDefault="00B765CB" w:rsidP="000B7B0D"/>
  </w:footnote>
  <w:footnote w:id="2">
    <w:p w14:paraId="1DFAC2A2" w14:textId="5480D4E5" w:rsidR="008B1961" w:rsidRDefault="008B1961">
      <w:pPr>
        <w:pStyle w:val="Textodenotaderodap"/>
      </w:pPr>
      <w:r>
        <w:rPr>
          <w:rStyle w:val="Refdenotaderodap"/>
        </w:rPr>
        <w:footnoteRef/>
      </w:r>
      <w:r>
        <w:t xml:space="preserve"> </w:t>
      </w:r>
      <w:r w:rsidR="00397102">
        <w:t>Na página inicial do sítio do Tesouro Transparente (</w:t>
      </w:r>
      <w:r w:rsidR="00397102" w:rsidRPr="00397102">
        <w:t>www.tesourotransparente.gov.br</w:t>
      </w:r>
      <w:r w:rsidR="00397102">
        <w:t xml:space="preserve">), </w:t>
      </w:r>
      <w:r w:rsidR="00921ADB">
        <w:t>há um</w:t>
      </w:r>
      <w:r w:rsidR="00FD4B02">
        <w:t xml:space="preserve"> gráfico que apresenta as despesas pagas pela União </w:t>
      </w:r>
      <w:r w:rsidR="0022276B">
        <w:t>desde 2009, em que se observa</w:t>
      </w:r>
      <w:r w:rsidR="00AA1A69">
        <w:t>m</w:t>
      </w:r>
      <w:r w:rsidR="0022276B">
        <w:t xml:space="preserve"> as posições dos gastos </w:t>
      </w:r>
      <w:r w:rsidR="008A3DAB">
        <w:t>com Benefícios do RGPS e com Pessoal (ativo)</w:t>
      </w:r>
      <w:r w:rsidR="003D7297">
        <w:t xml:space="preserve"> até abril de 2019.</w:t>
      </w:r>
    </w:p>
  </w:footnote>
  <w:footnote w:id="3">
    <w:p w14:paraId="1668697D" w14:textId="50B4008F" w:rsidR="00351EB8" w:rsidRPr="007E039C" w:rsidRDefault="00351EB8" w:rsidP="007E039C">
      <w:pPr>
        <w:pStyle w:val="Ttulo4"/>
      </w:pPr>
      <w:r w:rsidRPr="00F8213F">
        <w:rPr>
          <w:rStyle w:val="Refdenotaderodap"/>
          <w:sz w:val="14"/>
          <w:vertAlign w:val="baseline"/>
        </w:rPr>
        <w:footnoteRef/>
      </w:r>
      <w:r w:rsidRPr="007E039C">
        <w:t xml:space="preserve"> A “verificação do direito adquirido pelo credor tendo por base os títulos e documentos comprobatórios do respectivo crédito” é denominada, pelo art. 63 da Lei nº 4.320/64, de liquidação da despesa.</w:t>
      </w:r>
    </w:p>
  </w:footnote>
  <w:footnote w:id="4">
    <w:p w14:paraId="5AA5CD82" w14:textId="708101DA" w:rsidR="00351EB8" w:rsidRDefault="00351EB8" w:rsidP="007F0C67">
      <w:pPr>
        <w:pStyle w:val="Ttulo4"/>
      </w:pPr>
      <w:r w:rsidRPr="003C2CC1">
        <w:rPr>
          <w:rStyle w:val="Refdenotaderodap"/>
        </w:rPr>
        <w:footnoteRef/>
      </w:r>
      <w:r w:rsidRPr="003C2CC1">
        <w:t xml:space="preserve"> De acordo com a Lei nº 4.320/64, “consideram-se restos a pagar as despesas empenhadas mas não pagas até o dia 31 de dezembro, distinguindo-se as processadas das não processadas”. O Decreto nº 93.872/86, em complemento, diz que “entendem-se por processadas e não processadas, respectivamente, as despesas liquidadas e as não liquidadas”.</w:t>
      </w:r>
    </w:p>
  </w:footnote>
  <w:footnote w:id="5">
    <w:p w14:paraId="0125C837" w14:textId="18CEDD36" w:rsidR="00AB4016" w:rsidRDefault="00AB4016">
      <w:pPr>
        <w:pStyle w:val="Textodenotaderodap"/>
      </w:pPr>
      <w:r>
        <w:rPr>
          <w:rStyle w:val="Refdenotaderodap"/>
        </w:rPr>
        <w:footnoteRef/>
      </w:r>
      <w:r>
        <w:t xml:space="preserve"> </w:t>
      </w:r>
      <w:r w:rsidR="00300DFB">
        <w:t xml:space="preserve">De acordo com o sítio do Instituto Brasileiro de Geografia e Estatística – IBGE, </w:t>
      </w:r>
      <w:r w:rsidR="008A392A">
        <w:t xml:space="preserve">o </w:t>
      </w:r>
      <w:r w:rsidR="00890E7A">
        <w:t>“Sistema de Contas Nacionais apresenta informações sobre a geração, a distribuição e o uso da renda no País. Há também dados sobre a acumulação de ativos não financeiros</w:t>
      </w:r>
      <w:r w:rsidR="0074591A">
        <w:t>, patrimônio financeiro e sobre as relações entre a economia nacional e o resto do mundo”.</w:t>
      </w:r>
      <w:r w:rsidR="002B455A">
        <w:t xml:space="preserve"> O núcleo do Sistema</w:t>
      </w:r>
      <w:r w:rsidR="004B4C12">
        <w:t xml:space="preserve"> oferece uma </w:t>
      </w:r>
      <w:r w:rsidR="000702E4">
        <w:t>“</w:t>
      </w:r>
      <w:r w:rsidR="004B4C12">
        <w:t>visão do conjunto da economia</w:t>
      </w:r>
      <w:r w:rsidR="000702E4">
        <w:t>, descrevendo, para cada setor institucional</w:t>
      </w:r>
      <w:r w:rsidR="00EE2EB9">
        <w:t>, seus fenômenos essenciais – produção, consumo, acumulação e patrim</w:t>
      </w:r>
      <w:r w:rsidR="001953F8">
        <w:t>ônio – e suas inter-relações no período considerado”.</w:t>
      </w:r>
    </w:p>
  </w:footnote>
  <w:footnote w:id="6">
    <w:p w14:paraId="497EDDC6" w14:textId="77777777" w:rsidR="00351EB8" w:rsidRPr="00B92692" w:rsidRDefault="00351EB8" w:rsidP="00567554">
      <w:pPr>
        <w:pStyle w:val="Ttulo4"/>
      </w:pPr>
      <w:r w:rsidRPr="00B92692">
        <w:rPr>
          <w:rStyle w:val="Refdenotaderodap"/>
        </w:rPr>
        <w:footnoteRef/>
      </w:r>
      <w:r w:rsidRPr="00B92692">
        <w:t xml:space="preserve"> O conceito de Governo Central inclui Unidades Governamentais (como ministérios e fundos de previdência social), Outras Unidades Governamentais (como autarquias, empresas estatais dependentes e fundações públicas), bem como Organizações Sociais. Já o conceito de Setor Público acrescenta ao Governo Central as corporações públicas, tanto financeiras (como Banco Central) quanto não financeiras, empresas públicas e sociedades de economia mista controladas pela Governo que produzem bens e serviços não financeiros para o mercado.</w:t>
      </w:r>
    </w:p>
  </w:footnote>
  <w:footnote w:id="7">
    <w:p w14:paraId="230EE373" w14:textId="58F334D7" w:rsidR="00351EB8" w:rsidRPr="00B92692" w:rsidRDefault="00351EB8" w:rsidP="00567554">
      <w:pPr>
        <w:pStyle w:val="Ttulo4"/>
      </w:pPr>
      <w:r w:rsidRPr="00B92692">
        <w:rPr>
          <w:rStyle w:val="Refdenotaderodap"/>
        </w:rPr>
        <w:footnoteRef/>
      </w:r>
      <w:r w:rsidRPr="00B92692">
        <w:t xml:space="preserve"> Um exemplo prático dessa mudança são os títulos da dívida, que, pelo MEFP 1986 eram avaliados pelo valor de face do título (quanto o Governo é obrigado a pagar quando a dívida vende), o que poderia divergir significativamente do valor de mercado da dívida.</w:t>
      </w:r>
    </w:p>
  </w:footnote>
  <w:footnote w:id="8">
    <w:p w14:paraId="28D96858" w14:textId="6F5CED8C" w:rsidR="00BC635B" w:rsidRDefault="00BC635B">
      <w:pPr>
        <w:pStyle w:val="Textodenotaderodap"/>
      </w:pPr>
      <w:r>
        <w:rPr>
          <w:rStyle w:val="Refdenotaderodap"/>
        </w:rPr>
        <w:footnoteRef/>
      </w:r>
      <w:r>
        <w:t xml:space="preserve"> Art.</w:t>
      </w:r>
      <w:r w:rsidR="009924E4">
        <w:t xml:space="preserve"> 12, </w:t>
      </w:r>
      <w:r w:rsidR="00790F54">
        <w:t>§</w:t>
      </w:r>
      <w:r w:rsidR="005825A2">
        <w:t xml:space="preserve"> 4º, da Lei </w:t>
      </w:r>
      <w:r w:rsidR="0075056E">
        <w:t xml:space="preserve">nº </w:t>
      </w:r>
      <w:r w:rsidR="005825A2">
        <w:t>4.320/64 define investimentos como “as dotações para o planejamento e a execução de obras</w:t>
      </w:r>
      <w:r w:rsidR="002B1451">
        <w:t xml:space="preserve">, inclusive as destinadas à aquisição de imóveis considerados necessários à realização destas últimas, bem como </w:t>
      </w:r>
      <w:r w:rsidR="00641BBB">
        <w:t>para os programas especiais de trabalho, aquisição de instalações, equipamentos e material permanente e constituição ou aumento do capital de empresas que não sejam de caráter comercial ou financeiro”.</w:t>
      </w:r>
    </w:p>
  </w:footnote>
  <w:footnote w:id="9">
    <w:p w14:paraId="1566CAC0" w14:textId="285F16A4" w:rsidR="00641BBB" w:rsidRDefault="00641BBB">
      <w:pPr>
        <w:pStyle w:val="Textodenotaderodap"/>
      </w:pPr>
      <w:r>
        <w:rPr>
          <w:rStyle w:val="Refdenotaderodap"/>
        </w:rPr>
        <w:footnoteRef/>
      </w:r>
      <w:r>
        <w:t xml:space="preserve"> Art. 12, § 5º</w:t>
      </w:r>
      <w:r w:rsidR="0075056E">
        <w:t xml:space="preserve">, da Lei nº 4.320/64 classifica como inversões financeiras “as dotações destinas a: </w:t>
      </w:r>
      <w:r w:rsidR="008535A4">
        <w:t>I – aquisição de imóveis, ou de bens de capital já em utilização; II – aquisição de títulos representativos do capital de empresas ou entidades de qualquer espécie</w:t>
      </w:r>
      <w:r w:rsidR="009B78BF">
        <w:t>, já constituídas, quando a operação não importe aumento do capita</w:t>
      </w:r>
      <w:r w:rsidR="00AB3FA1">
        <w:t>l; III – constituição ou aumento do capital de entidades ou empresas que visem a objetivos</w:t>
      </w:r>
      <w:r w:rsidR="00480E41">
        <w:t xml:space="preserve"> comerciais ou financeiros, inclusive operações bancárias ou de seguros”.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7F62" w14:textId="10BDEBAB" w:rsidR="00351EB8" w:rsidRDefault="00351EB8">
    <w:pPr>
      <w:pStyle w:val="Cabealho"/>
      <w:rPr>
        <w:noProof/>
      </w:rPr>
    </w:pPr>
  </w:p>
  <w:p w14:paraId="6106C7BA" w14:textId="77777777" w:rsidR="00351EB8" w:rsidRDefault="00351E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307159311"/>
      <w:docPartObj>
        <w:docPartGallery w:val="Page Numbers (Top of Page)"/>
        <w:docPartUnique/>
      </w:docPartObj>
    </w:sdtPr>
    <w:sdtEndPr>
      <w:rPr>
        <w:color w:val="auto"/>
      </w:rPr>
    </w:sdtEndPr>
    <w:sdtContent>
      <w:p w14:paraId="295481B9" w14:textId="77777777" w:rsidR="00B46284" w:rsidRPr="00B46284" w:rsidRDefault="00B46284">
        <w:pPr>
          <w:pStyle w:val="Cabealho"/>
          <w:jc w:val="right"/>
          <w:rPr>
            <w:color w:val="auto"/>
          </w:rPr>
        </w:pPr>
        <w:r w:rsidRPr="00B46284">
          <w:rPr>
            <w:color w:val="auto"/>
            <w:sz w:val="20"/>
            <w:szCs w:val="20"/>
          </w:rPr>
          <w:fldChar w:fldCharType="begin"/>
        </w:r>
        <w:r w:rsidRPr="00B46284">
          <w:rPr>
            <w:color w:val="auto"/>
            <w:sz w:val="20"/>
            <w:szCs w:val="20"/>
          </w:rPr>
          <w:instrText>PAGE   \* MERGEFORMAT</w:instrText>
        </w:r>
        <w:r w:rsidRPr="00B46284">
          <w:rPr>
            <w:color w:val="auto"/>
            <w:sz w:val="20"/>
            <w:szCs w:val="20"/>
          </w:rPr>
          <w:fldChar w:fldCharType="separate"/>
        </w:r>
        <w:r w:rsidRPr="00B46284">
          <w:rPr>
            <w:color w:val="auto"/>
            <w:sz w:val="20"/>
            <w:szCs w:val="20"/>
          </w:rPr>
          <w:t>2</w:t>
        </w:r>
        <w:r w:rsidRPr="00B46284">
          <w:rPr>
            <w:color w:val="auto"/>
            <w:sz w:val="20"/>
            <w:szCs w:val="20"/>
          </w:rPr>
          <w:fldChar w:fldCharType="end"/>
        </w:r>
      </w:p>
    </w:sdtContent>
  </w:sdt>
  <w:p w14:paraId="2A0170B9" w14:textId="77777777" w:rsidR="00B46284" w:rsidRDefault="00B46284">
    <w:pPr>
      <w:pStyle w:val="Cabealho"/>
      <w:rPr>
        <w:noProof/>
      </w:rPr>
    </w:pPr>
  </w:p>
  <w:p w14:paraId="144E2CDF" w14:textId="77777777" w:rsidR="00B46284" w:rsidRDefault="00B462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A6D2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38418D"/>
    <w:multiLevelType w:val="hybridMultilevel"/>
    <w:tmpl w:val="43126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8B43C2"/>
    <w:multiLevelType w:val="multilevel"/>
    <w:tmpl w:val="079E80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3E3DA7"/>
    <w:multiLevelType w:val="multilevel"/>
    <w:tmpl w:val="079E80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C244D7C"/>
    <w:multiLevelType w:val="hybridMultilevel"/>
    <w:tmpl w:val="3E024DB2"/>
    <w:lvl w:ilvl="0" w:tplc="44D88DF4">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775FBD"/>
    <w:multiLevelType w:val="multilevel"/>
    <w:tmpl w:val="672676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23B62"/>
    <w:multiLevelType w:val="hybridMultilevel"/>
    <w:tmpl w:val="DF102288"/>
    <w:lvl w:ilvl="0" w:tplc="04160003">
      <w:start w:val="1"/>
      <w:numFmt w:val="bullet"/>
      <w:lvlText w:val="o"/>
      <w:lvlJc w:val="left"/>
      <w:pPr>
        <w:ind w:left="2484" w:hanging="360"/>
      </w:pPr>
      <w:rPr>
        <w:rFonts w:ascii="Courier New" w:hAnsi="Courier New" w:cs="Courier New"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7" w15:restartNumberingAfterBreak="0">
    <w:nsid w:val="35217FEE"/>
    <w:multiLevelType w:val="multilevel"/>
    <w:tmpl w:val="243EDD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822EEF"/>
    <w:multiLevelType w:val="hybridMultilevel"/>
    <w:tmpl w:val="8ACA079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C362F6A"/>
    <w:multiLevelType w:val="hybridMultilevel"/>
    <w:tmpl w:val="43126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911FE9"/>
    <w:multiLevelType w:val="hybridMultilevel"/>
    <w:tmpl w:val="E89897D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F4103E"/>
    <w:multiLevelType w:val="hybridMultilevel"/>
    <w:tmpl w:val="43126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3C5E14"/>
    <w:multiLevelType w:val="hybridMultilevel"/>
    <w:tmpl w:val="D980B558"/>
    <w:lvl w:ilvl="0" w:tplc="04160003">
      <w:start w:val="1"/>
      <w:numFmt w:val="bullet"/>
      <w:lvlText w:val="o"/>
      <w:lvlJc w:val="left"/>
      <w:pPr>
        <w:ind w:left="2136" w:hanging="360"/>
      </w:pPr>
      <w:rPr>
        <w:rFonts w:ascii="Courier New" w:hAnsi="Courier New" w:cs="Courier New"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3" w15:restartNumberingAfterBreak="0">
    <w:nsid w:val="75D1219E"/>
    <w:multiLevelType w:val="hybridMultilevel"/>
    <w:tmpl w:val="5BB22E1A"/>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E904DB"/>
    <w:multiLevelType w:val="multilevel"/>
    <w:tmpl w:val="EE700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9"/>
  </w:num>
  <w:num w:numId="3">
    <w:abstractNumId w:val="1"/>
  </w:num>
  <w:num w:numId="4">
    <w:abstractNumId w:val="11"/>
  </w:num>
  <w:num w:numId="5">
    <w:abstractNumId w:val="8"/>
  </w:num>
  <w:num w:numId="6">
    <w:abstractNumId w:val="12"/>
  </w:num>
  <w:num w:numId="7">
    <w:abstractNumId w:val="6"/>
  </w:num>
  <w:num w:numId="8">
    <w:abstractNumId w:val="10"/>
  </w:num>
  <w:num w:numId="9">
    <w:abstractNumId w:val="2"/>
  </w:num>
  <w:num w:numId="10">
    <w:abstractNumId w:val="4"/>
  </w:num>
  <w:num w:numId="11">
    <w:abstractNumId w:val="13"/>
  </w:num>
  <w:num w:numId="12">
    <w:abstractNumId w:val="14"/>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0B"/>
    <w:rsid w:val="00000B5F"/>
    <w:rsid w:val="0000101C"/>
    <w:rsid w:val="00001B4A"/>
    <w:rsid w:val="00001EBA"/>
    <w:rsid w:val="00002B15"/>
    <w:rsid w:val="00002CC3"/>
    <w:rsid w:val="00002ECE"/>
    <w:rsid w:val="00003144"/>
    <w:rsid w:val="000035A5"/>
    <w:rsid w:val="00003F0F"/>
    <w:rsid w:val="0000403F"/>
    <w:rsid w:val="0000454C"/>
    <w:rsid w:val="000054A0"/>
    <w:rsid w:val="000073D0"/>
    <w:rsid w:val="00007989"/>
    <w:rsid w:val="0000798D"/>
    <w:rsid w:val="00007F11"/>
    <w:rsid w:val="0001002D"/>
    <w:rsid w:val="00010589"/>
    <w:rsid w:val="0001073A"/>
    <w:rsid w:val="00010B71"/>
    <w:rsid w:val="000111EB"/>
    <w:rsid w:val="00012111"/>
    <w:rsid w:val="000127B1"/>
    <w:rsid w:val="00012C7A"/>
    <w:rsid w:val="00012C7F"/>
    <w:rsid w:val="00013827"/>
    <w:rsid w:val="00013DCA"/>
    <w:rsid w:val="00013FCB"/>
    <w:rsid w:val="000144EB"/>
    <w:rsid w:val="00014814"/>
    <w:rsid w:val="00014FC6"/>
    <w:rsid w:val="0001506B"/>
    <w:rsid w:val="00015960"/>
    <w:rsid w:val="000159E9"/>
    <w:rsid w:val="00015E3E"/>
    <w:rsid w:val="000163CF"/>
    <w:rsid w:val="00016B1A"/>
    <w:rsid w:val="000173F9"/>
    <w:rsid w:val="000176FE"/>
    <w:rsid w:val="00017841"/>
    <w:rsid w:val="00020248"/>
    <w:rsid w:val="000203E7"/>
    <w:rsid w:val="000204CF"/>
    <w:rsid w:val="00020557"/>
    <w:rsid w:val="000205C7"/>
    <w:rsid w:val="000214B6"/>
    <w:rsid w:val="00021681"/>
    <w:rsid w:val="00021999"/>
    <w:rsid w:val="00021F42"/>
    <w:rsid w:val="000223FB"/>
    <w:rsid w:val="000225B5"/>
    <w:rsid w:val="00022FE0"/>
    <w:rsid w:val="00023002"/>
    <w:rsid w:val="000237AA"/>
    <w:rsid w:val="000237B2"/>
    <w:rsid w:val="00023845"/>
    <w:rsid w:val="000244EF"/>
    <w:rsid w:val="00024CF8"/>
    <w:rsid w:val="000253B5"/>
    <w:rsid w:val="000254E0"/>
    <w:rsid w:val="00025969"/>
    <w:rsid w:val="00026002"/>
    <w:rsid w:val="0002614B"/>
    <w:rsid w:val="00026A21"/>
    <w:rsid w:val="00026E5B"/>
    <w:rsid w:val="0002714D"/>
    <w:rsid w:val="00027B19"/>
    <w:rsid w:val="00027BF6"/>
    <w:rsid w:val="00027ED1"/>
    <w:rsid w:val="00030295"/>
    <w:rsid w:val="0003189A"/>
    <w:rsid w:val="0003235B"/>
    <w:rsid w:val="00032EBA"/>
    <w:rsid w:val="00032FB0"/>
    <w:rsid w:val="00033351"/>
    <w:rsid w:val="000338B3"/>
    <w:rsid w:val="00033BDB"/>
    <w:rsid w:val="00033CA3"/>
    <w:rsid w:val="00033E2C"/>
    <w:rsid w:val="00034320"/>
    <w:rsid w:val="00034713"/>
    <w:rsid w:val="00034A84"/>
    <w:rsid w:val="000350C2"/>
    <w:rsid w:val="00036521"/>
    <w:rsid w:val="0003705F"/>
    <w:rsid w:val="0003706F"/>
    <w:rsid w:val="00037180"/>
    <w:rsid w:val="00037191"/>
    <w:rsid w:val="00037281"/>
    <w:rsid w:val="000372D2"/>
    <w:rsid w:val="0003799F"/>
    <w:rsid w:val="00037BF9"/>
    <w:rsid w:val="00037C9A"/>
    <w:rsid w:val="0004003B"/>
    <w:rsid w:val="00040106"/>
    <w:rsid w:val="000404B7"/>
    <w:rsid w:val="00040A55"/>
    <w:rsid w:val="00040C9C"/>
    <w:rsid w:val="00040D55"/>
    <w:rsid w:val="0004158B"/>
    <w:rsid w:val="000417B6"/>
    <w:rsid w:val="000435B6"/>
    <w:rsid w:val="00043624"/>
    <w:rsid w:val="00043EBF"/>
    <w:rsid w:val="00043FC9"/>
    <w:rsid w:val="00044043"/>
    <w:rsid w:val="00044472"/>
    <w:rsid w:val="00044AF6"/>
    <w:rsid w:val="00044AF7"/>
    <w:rsid w:val="00045094"/>
    <w:rsid w:val="000450EC"/>
    <w:rsid w:val="00045467"/>
    <w:rsid w:val="00046271"/>
    <w:rsid w:val="00046997"/>
    <w:rsid w:val="00046B12"/>
    <w:rsid w:val="00047812"/>
    <w:rsid w:val="000478C0"/>
    <w:rsid w:val="00047928"/>
    <w:rsid w:val="00047DFB"/>
    <w:rsid w:val="0005088D"/>
    <w:rsid w:val="00051195"/>
    <w:rsid w:val="00051DF1"/>
    <w:rsid w:val="0005239B"/>
    <w:rsid w:val="000523EC"/>
    <w:rsid w:val="000525C1"/>
    <w:rsid w:val="0005351C"/>
    <w:rsid w:val="00053580"/>
    <w:rsid w:val="000535C7"/>
    <w:rsid w:val="00053736"/>
    <w:rsid w:val="00053976"/>
    <w:rsid w:val="00053D00"/>
    <w:rsid w:val="000540DE"/>
    <w:rsid w:val="000546F3"/>
    <w:rsid w:val="00054D9F"/>
    <w:rsid w:val="00054EB4"/>
    <w:rsid w:val="00055486"/>
    <w:rsid w:val="000556C9"/>
    <w:rsid w:val="00055767"/>
    <w:rsid w:val="00055A15"/>
    <w:rsid w:val="000563EB"/>
    <w:rsid w:val="0005661C"/>
    <w:rsid w:val="00056938"/>
    <w:rsid w:val="00056BF8"/>
    <w:rsid w:val="00056C5F"/>
    <w:rsid w:val="00056FE3"/>
    <w:rsid w:val="000572C6"/>
    <w:rsid w:val="000578B5"/>
    <w:rsid w:val="000606C4"/>
    <w:rsid w:val="000613E2"/>
    <w:rsid w:val="00061DF2"/>
    <w:rsid w:val="000620FB"/>
    <w:rsid w:val="00063489"/>
    <w:rsid w:val="00063760"/>
    <w:rsid w:val="0006381D"/>
    <w:rsid w:val="00063820"/>
    <w:rsid w:val="00063966"/>
    <w:rsid w:val="00065F8B"/>
    <w:rsid w:val="00066509"/>
    <w:rsid w:val="00066691"/>
    <w:rsid w:val="000666F3"/>
    <w:rsid w:val="00066E95"/>
    <w:rsid w:val="0006735F"/>
    <w:rsid w:val="00067775"/>
    <w:rsid w:val="000678B5"/>
    <w:rsid w:val="00067EAB"/>
    <w:rsid w:val="000700A6"/>
    <w:rsid w:val="000702E4"/>
    <w:rsid w:val="000709F8"/>
    <w:rsid w:val="00071464"/>
    <w:rsid w:val="00071A85"/>
    <w:rsid w:val="00071AF8"/>
    <w:rsid w:val="00071FAC"/>
    <w:rsid w:val="000720ED"/>
    <w:rsid w:val="00072135"/>
    <w:rsid w:val="000725E5"/>
    <w:rsid w:val="0007329F"/>
    <w:rsid w:val="000732FF"/>
    <w:rsid w:val="00073560"/>
    <w:rsid w:val="00073A1B"/>
    <w:rsid w:val="00073DFC"/>
    <w:rsid w:val="00073FB3"/>
    <w:rsid w:val="000741EC"/>
    <w:rsid w:val="0007499E"/>
    <w:rsid w:val="00074BA1"/>
    <w:rsid w:val="00074DD3"/>
    <w:rsid w:val="000755E9"/>
    <w:rsid w:val="00075A16"/>
    <w:rsid w:val="00075BA4"/>
    <w:rsid w:val="00075BD5"/>
    <w:rsid w:val="00075E3A"/>
    <w:rsid w:val="0007716B"/>
    <w:rsid w:val="00077953"/>
    <w:rsid w:val="00077C66"/>
    <w:rsid w:val="00077EB5"/>
    <w:rsid w:val="00077F41"/>
    <w:rsid w:val="00080838"/>
    <w:rsid w:val="00080B72"/>
    <w:rsid w:val="00080E1C"/>
    <w:rsid w:val="00080F95"/>
    <w:rsid w:val="00081032"/>
    <w:rsid w:val="0008127B"/>
    <w:rsid w:val="0008160C"/>
    <w:rsid w:val="000817AE"/>
    <w:rsid w:val="00081C3F"/>
    <w:rsid w:val="00082410"/>
    <w:rsid w:val="000824BB"/>
    <w:rsid w:val="000827C2"/>
    <w:rsid w:val="00082B0C"/>
    <w:rsid w:val="00083128"/>
    <w:rsid w:val="0008340B"/>
    <w:rsid w:val="00083776"/>
    <w:rsid w:val="000837D1"/>
    <w:rsid w:val="00084F75"/>
    <w:rsid w:val="00085A4B"/>
    <w:rsid w:val="000879E6"/>
    <w:rsid w:val="00087D31"/>
    <w:rsid w:val="00090A38"/>
    <w:rsid w:val="00090D03"/>
    <w:rsid w:val="000919A8"/>
    <w:rsid w:val="00091D21"/>
    <w:rsid w:val="00091D9E"/>
    <w:rsid w:val="00092400"/>
    <w:rsid w:val="00092655"/>
    <w:rsid w:val="000929DF"/>
    <w:rsid w:val="00092FA1"/>
    <w:rsid w:val="000935BB"/>
    <w:rsid w:val="000939F4"/>
    <w:rsid w:val="00093ECE"/>
    <w:rsid w:val="000944D6"/>
    <w:rsid w:val="00094F3F"/>
    <w:rsid w:val="00094F7D"/>
    <w:rsid w:val="000951BD"/>
    <w:rsid w:val="00095729"/>
    <w:rsid w:val="00096482"/>
    <w:rsid w:val="000968E0"/>
    <w:rsid w:val="0009776E"/>
    <w:rsid w:val="000A0864"/>
    <w:rsid w:val="000A0900"/>
    <w:rsid w:val="000A09AA"/>
    <w:rsid w:val="000A108F"/>
    <w:rsid w:val="000A15F0"/>
    <w:rsid w:val="000A21AC"/>
    <w:rsid w:val="000A2441"/>
    <w:rsid w:val="000A3111"/>
    <w:rsid w:val="000A3A98"/>
    <w:rsid w:val="000A4E71"/>
    <w:rsid w:val="000A63AD"/>
    <w:rsid w:val="000A655A"/>
    <w:rsid w:val="000A6BC6"/>
    <w:rsid w:val="000A76A6"/>
    <w:rsid w:val="000A7781"/>
    <w:rsid w:val="000A7940"/>
    <w:rsid w:val="000A7BA3"/>
    <w:rsid w:val="000A7BEA"/>
    <w:rsid w:val="000A7F18"/>
    <w:rsid w:val="000B0659"/>
    <w:rsid w:val="000B0A2D"/>
    <w:rsid w:val="000B13F4"/>
    <w:rsid w:val="000B179B"/>
    <w:rsid w:val="000B22E2"/>
    <w:rsid w:val="000B2762"/>
    <w:rsid w:val="000B32FB"/>
    <w:rsid w:val="000B40D4"/>
    <w:rsid w:val="000B4436"/>
    <w:rsid w:val="000B44B8"/>
    <w:rsid w:val="000B45E6"/>
    <w:rsid w:val="000B475C"/>
    <w:rsid w:val="000B483B"/>
    <w:rsid w:val="000B48DA"/>
    <w:rsid w:val="000B4912"/>
    <w:rsid w:val="000B5357"/>
    <w:rsid w:val="000B5B93"/>
    <w:rsid w:val="000B6306"/>
    <w:rsid w:val="000B63B4"/>
    <w:rsid w:val="000B65D0"/>
    <w:rsid w:val="000B6A0F"/>
    <w:rsid w:val="000B6CF5"/>
    <w:rsid w:val="000B7ACC"/>
    <w:rsid w:val="000B7B0D"/>
    <w:rsid w:val="000C0064"/>
    <w:rsid w:val="000C021E"/>
    <w:rsid w:val="000C0C7C"/>
    <w:rsid w:val="000C1A9E"/>
    <w:rsid w:val="000C2571"/>
    <w:rsid w:val="000C2691"/>
    <w:rsid w:val="000C2986"/>
    <w:rsid w:val="000C2A40"/>
    <w:rsid w:val="000C2B15"/>
    <w:rsid w:val="000C2B6E"/>
    <w:rsid w:val="000C2FD7"/>
    <w:rsid w:val="000C37BB"/>
    <w:rsid w:val="000C38F5"/>
    <w:rsid w:val="000C3C9A"/>
    <w:rsid w:val="000C49B8"/>
    <w:rsid w:val="000C51AE"/>
    <w:rsid w:val="000C6378"/>
    <w:rsid w:val="000C6D03"/>
    <w:rsid w:val="000C716F"/>
    <w:rsid w:val="000C73AE"/>
    <w:rsid w:val="000C793A"/>
    <w:rsid w:val="000C7DD5"/>
    <w:rsid w:val="000D043F"/>
    <w:rsid w:val="000D082D"/>
    <w:rsid w:val="000D0AEC"/>
    <w:rsid w:val="000D0AF4"/>
    <w:rsid w:val="000D126D"/>
    <w:rsid w:val="000D163D"/>
    <w:rsid w:val="000D177E"/>
    <w:rsid w:val="000D205E"/>
    <w:rsid w:val="000D2D26"/>
    <w:rsid w:val="000D30C4"/>
    <w:rsid w:val="000D36F3"/>
    <w:rsid w:val="000D3C2A"/>
    <w:rsid w:val="000D3CB8"/>
    <w:rsid w:val="000D3DA1"/>
    <w:rsid w:val="000D3EFE"/>
    <w:rsid w:val="000D40D0"/>
    <w:rsid w:val="000D4955"/>
    <w:rsid w:val="000D4BCA"/>
    <w:rsid w:val="000D5658"/>
    <w:rsid w:val="000D5A9F"/>
    <w:rsid w:val="000D5B21"/>
    <w:rsid w:val="000D5D45"/>
    <w:rsid w:val="000D60EC"/>
    <w:rsid w:val="000D7753"/>
    <w:rsid w:val="000D7B1A"/>
    <w:rsid w:val="000E0268"/>
    <w:rsid w:val="000E07C0"/>
    <w:rsid w:val="000E1039"/>
    <w:rsid w:val="000E156F"/>
    <w:rsid w:val="000E16B8"/>
    <w:rsid w:val="000E1746"/>
    <w:rsid w:val="000E2A9A"/>
    <w:rsid w:val="000E2BD8"/>
    <w:rsid w:val="000E2C71"/>
    <w:rsid w:val="000E311E"/>
    <w:rsid w:val="000E368B"/>
    <w:rsid w:val="000E4923"/>
    <w:rsid w:val="000E4FE5"/>
    <w:rsid w:val="000E50CC"/>
    <w:rsid w:val="000E5A68"/>
    <w:rsid w:val="000E5F0E"/>
    <w:rsid w:val="000E60AA"/>
    <w:rsid w:val="000E63ED"/>
    <w:rsid w:val="000E6C0B"/>
    <w:rsid w:val="000E6F72"/>
    <w:rsid w:val="000E6F73"/>
    <w:rsid w:val="000E71FD"/>
    <w:rsid w:val="000E745D"/>
    <w:rsid w:val="000E77BE"/>
    <w:rsid w:val="000E78D7"/>
    <w:rsid w:val="000E7DF8"/>
    <w:rsid w:val="000F010F"/>
    <w:rsid w:val="000F013B"/>
    <w:rsid w:val="000F03A4"/>
    <w:rsid w:val="000F0629"/>
    <w:rsid w:val="000F07D8"/>
    <w:rsid w:val="000F0D1B"/>
    <w:rsid w:val="000F1205"/>
    <w:rsid w:val="000F1312"/>
    <w:rsid w:val="000F1369"/>
    <w:rsid w:val="000F16EB"/>
    <w:rsid w:val="000F172A"/>
    <w:rsid w:val="000F1AF5"/>
    <w:rsid w:val="000F1B80"/>
    <w:rsid w:val="000F1ED7"/>
    <w:rsid w:val="000F21DE"/>
    <w:rsid w:val="000F2A91"/>
    <w:rsid w:val="000F2EE5"/>
    <w:rsid w:val="000F3374"/>
    <w:rsid w:val="000F3508"/>
    <w:rsid w:val="000F36C6"/>
    <w:rsid w:val="000F3F7F"/>
    <w:rsid w:val="000F416E"/>
    <w:rsid w:val="000F4EDF"/>
    <w:rsid w:val="000F5019"/>
    <w:rsid w:val="000F5719"/>
    <w:rsid w:val="000F607D"/>
    <w:rsid w:val="000F6468"/>
    <w:rsid w:val="000F6AA0"/>
    <w:rsid w:val="000F6F6C"/>
    <w:rsid w:val="00100161"/>
    <w:rsid w:val="0010069E"/>
    <w:rsid w:val="00100B79"/>
    <w:rsid w:val="0010175E"/>
    <w:rsid w:val="001029B8"/>
    <w:rsid w:val="00102F1D"/>
    <w:rsid w:val="00103537"/>
    <w:rsid w:val="0010361B"/>
    <w:rsid w:val="00103CCC"/>
    <w:rsid w:val="00104026"/>
    <w:rsid w:val="001042B0"/>
    <w:rsid w:val="00104B32"/>
    <w:rsid w:val="0010560F"/>
    <w:rsid w:val="00105C54"/>
    <w:rsid w:val="00105D17"/>
    <w:rsid w:val="00106375"/>
    <w:rsid w:val="00106645"/>
    <w:rsid w:val="00106B80"/>
    <w:rsid w:val="00106D3C"/>
    <w:rsid w:val="00106E03"/>
    <w:rsid w:val="00107408"/>
    <w:rsid w:val="00107A27"/>
    <w:rsid w:val="00107D76"/>
    <w:rsid w:val="00110885"/>
    <w:rsid w:val="00110C45"/>
    <w:rsid w:val="00110CE6"/>
    <w:rsid w:val="00110F0D"/>
    <w:rsid w:val="001110D1"/>
    <w:rsid w:val="00111AFE"/>
    <w:rsid w:val="00111F58"/>
    <w:rsid w:val="001127AD"/>
    <w:rsid w:val="00112B1B"/>
    <w:rsid w:val="00112BFA"/>
    <w:rsid w:val="00112EAC"/>
    <w:rsid w:val="00113133"/>
    <w:rsid w:val="0011357E"/>
    <w:rsid w:val="00113957"/>
    <w:rsid w:val="0011398C"/>
    <w:rsid w:val="00113A5F"/>
    <w:rsid w:val="001145D6"/>
    <w:rsid w:val="0011476E"/>
    <w:rsid w:val="00114CFA"/>
    <w:rsid w:val="00114CFF"/>
    <w:rsid w:val="001152BD"/>
    <w:rsid w:val="00115981"/>
    <w:rsid w:val="00115B17"/>
    <w:rsid w:val="00115EE5"/>
    <w:rsid w:val="001160F4"/>
    <w:rsid w:val="00116695"/>
    <w:rsid w:val="00116F92"/>
    <w:rsid w:val="00117177"/>
    <w:rsid w:val="001179AC"/>
    <w:rsid w:val="00117E11"/>
    <w:rsid w:val="0012037E"/>
    <w:rsid w:val="00120758"/>
    <w:rsid w:val="00120E76"/>
    <w:rsid w:val="00120F1C"/>
    <w:rsid w:val="001211CC"/>
    <w:rsid w:val="00121C74"/>
    <w:rsid w:val="00121C78"/>
    <w:rsid w:val="00122A79"/>
    <w:rsid w:val="00122E40"/>
    <w:rsid w:val="001233E9"/>
    <w:rsid w:val="00123766"/>
    <w:rsid w:val="00123D5A"/>
    <w:rsid w:val="001247CF"/>
    <w:rsid w:val="00124896"/>
    <w:rsid w:val="001248D3"/>
    <w:rsid w:val="00124D63"/>
    <w:rsid w:val="001250D8"/>
    <w:rsid w:val="00125677"/>
    <w:rsid w:val="00125EA1"/>
    <w:rsid w:val="001266FA"/>
    <w:rsid w:val="00126F52"/>
    <w:rsid w:val="00126F6C"/>
    <w:rsid w:val="001273B9"/>
    <w:rsid w:val="00127B39"/>
    <w:rsid w:val="00130C53"/>
    <w:rsid w:val="00130CA2"/>
    <w:rsid w:val="001310B0"/>
    <w:rsid w:val="0013226B"/>
    <w:rsid w:val="0013226C"/>
    <w:rsid w:val="001326F2"/>
    <w:rsid w:val="001327E6"/>
    <w:rsid w:val="00132C49"/>
    <w:rsid w:val="00132D28"/>
    <w:rsid w:val="001335F5"/>
    <w:rsid w:val="0013375E"/>
    <w:rsid w:val="001338D0"/>
    <w:rsid w:val="00133E40"/>
    <w:rsid w:val="001342C7"/>
    <w:rsid w:val="00134870"/>
    <w:rsid w:val="001355E2"/>
    <w:rsid w:val="001358B0"/>
    <w:rsid w:val="00136059"/>
    <w:rsid w:val="00136423"/>
    <w:rsid w:val="00136C0B"/>
    <w:rsid w:val="00136F19"/>
    <w:rsid w:val="001376F6"/>
    <w:rsid w:val="00137C1E"/>
    <w:rsid w:val="00137D23"/>
    <w:rsid w:val="00140244"/>
    <w:rsid w:val="00140C14"/>
    <w:rsid w:val="00140D86"/>
    <w:rsid w:val="00140E43"/>
    <w:rsid w:val="001412FF"/>
    <w:rsid w:val="0014198D"/>
    <w:rsid w:val="001419A6"/>
    <w:rsid w:val="00141DDA"/>
    <w:rsid w:val="0014270C"/>
    <w:rsid w:val="0014271C"/>
    <w:rsid w:val="0014289C"/>
    <w:rsid w:val="00142A44"/>
    <w:rsid w:val="00143135"/>
    <w:rsid w:val="0014313D"/>
    <w:rsid w:val="001453FD"/>
    <w:rsid w:val="0014544D"/>
    <w:rsid w:val="00145C54"/>
    <w:rsid w:val="00145E40"/>
    <w:rsid w:val="00146BE9"/>
    <w:rsid w:val="00146BEF"/>
    <w:rsid w:val="001476AF"/>
    <w:rsid w:val="0014775D"/>
    <w:rsid w:val="00147E58"/>
    <w:rsid w:val="001501AB"/>
    <w:rsid w:val="0015048B"/>
    <w:rsid w:val="0015091E"/>
    <w:rsid w:val="00150AD6"/>
    <w:rsid w:val="0015107A"/>
    <w:rsid w:val="001518D8"/>
    <w:rsid w:val="00151AAB"/>
    <w:rsid w:val="001521C3"/>
    <w:rsid w:val="00152E0C"/>
    <w:rsid w:val="00153989"/>
    <w:rsid w:val="00153D3C"/>
    <w:rsid w:val="00154074"/>
    <w:rsid w:val="0015534A"/>
    <w:rsid w:val="0015536D"/>
    <w:rsid w:val="001553FA"/>
    <w:rsid w:val="00155481"/>
    <w:rsid w:val="00155A60"/>
    <w:rsid w:val="00156090"/>
    <w:rsid w:val="00156648"/>
    <w:rsid w:val="00156D8F"/>
    <w:rsid w:val="00156EC5"/>
    <w:rsid w:val="0015730F"/>
    <w:rsid w:val="00157500"/>
    <w:rsid w:val="00160761"/>
    <w:rsid w:val="001609F3"/>
    <w:rsid w:val="00160D03"/>
    <w:rsid w:val="00161C10"/>
    <w:rsid w:val="00161E4F"/>
    <w:rsid w:val="00161F33"/>
    <w:rsid w:val="00161F8C"/>
    <w:rsid w:val="001623F2"/>
    <w:rsid w:val="00162529"/>
    <w:rsid w:val="00162F41"/>
    <w:rsid w:val="001634E5"/>
    <w:rsid w:val="00163AEF"/>
    <w:rsid w:val="00164096"/>
    <w:rsid w:val="00164519"/>
    <w:rsid w:val="00164647"/>
    <w:rsid w:val="00164A64"/>
    <w:rsid w:val="00164B9C"/>
    <w:rsid w:val="00164D0B"/>
    <w:rsid w:val="00165833"/>
    <w:rsid w:val="00166D64"/>
    <w:rsid w:val="00166E5A"/>
    <w:rsid w:val="0016702C"/>
    <w:rsid w:val="00167383"/>
    <w:rsid w:val="0016763E"/>
    <w:rsid w:val="001677A4"/>
    <w:rsid w:val="00167BD0"/>
    <w:rsid w:val="00167DFA"/>
    <w:rsid w:val="001701C6"/>
    <w:rsid w:val="00170229"/>
    <w:rsid w:val="0017052D"/>
    <w:rsid w:val="001705E1"/>
    <w:rsid w:val="001709E0"/>
    <w:rsid w:val="00170DF0"/>
    <w:rsid w:val="00171080"/>
    <w:rsid w:val="00171C40"/>
    <w:rsid w:val="00171C50"/>
    <w:rsid w:val="00172245"/>
    <w:rsid w:val="00172D1D"/>
    <w:rsid w:val="00172DCF"/>
    <w:rsid w:val="00173845"/>
    <w:rsid w:val="00174F1C"/>
    <w:rsid w:val="00175385"/>
    <w:rsid w:val="00175458"/>
    <w:rsid w:val="00175B39"/>
    <w:rsid w:val="00175FFE"/>
    <w:rsid w:val="001763BE"/>
    <w:rsid w:val="0017667E"/>
    <w:rsid w:val="00176C2A"/>
    <w:rsid w:val="00176CD2"/>
    <w:rsid w:val="00177938"/>
    <w:rsid w:val="00177D3E"/>
    <w:rsid w:val="00180766"/>
    <w:rsid w:val="001808FD"/>
    <w:rsid w:val="0018177E"/>
    <w:rsid w:val="00181A9A"/>
    <w:rsid w:val="00181D97"/>
    <w:rsid w:val="001827CB"/>
    <w:rsid w:val="001828EA"/>
    <w:rsid w:val="00183138"/>
    <w:rsid w:val="00183B6F"/>
    <w:rsid w:val="00183EF7"/>
    <w:rsid w:val="00184A2E"/>
    <w:rsid w:val="001852C0"/>
    <w:rsid w:val="00185CAB"/>
    <w:rsid w:val="00185DA1"/>
    <w:rsid w:val="001861FD"/>
    <w:rsid w:val="001862D6"/>
    <w:rsid w:val="0018650F"/>
    <w:rsid w:val="001870B4"/>
    <w:rsid w:val="00187782"/>
    <w:rsid w:val="0019098C"/>
    <w:rsid w:val="001915CC"/>
    <w:rsid w:val="0019189F"/>
    <w:rsid w:val="00191941"/>
    <w:rsid w:val="00191A75"/>
    <w:rsid w:val="0019247B"/>
    <w:rsid w:val="00192C68"/>
    <w:rsid w:val="00193C4C"/>
    <w:rsid w:val="00193C6F"/>
    <w:rsid w:val="00193EDF"/>
    <w:rsid w:val="00194332"/>
    <w:rsid w:val="00194615"/>
    <w:rsid w:val="0019493A"/>
    <w:rsid w:val="00194B54"/>
    <w:rsid w:val="00194D11"/>
    <w:rsid w:val="001953F8"/>
    <w:rsid w:val="0019548A"/>
    <w:rsid w:val="00195516"/>
    <w:rsid w:val="0019646D"/>
    <w:rsid w:val="00196DE6"/>
    <w:rsid w:val="00197019"/>
    <w:rsid w:val="00197ED0"/>
    <w:rsid w:val="00197F25"/>
    <w:rsid w:val="001A02C4"/>
    <w:rsid w:val="001A0513"/>
    <w:rsid w:val="001A05F6"/>
    <w:rsid w:val="001A1037"/>
    <w:rsid w:val="001A1056"/>
    <w:rsid w:val="001A137A"/>
    <w:rsid w:val="001A1776"/>
    <w:rsid w:val="001A195C"/>
    <w:rsid w:val="001A1AD6"/>
    <w:rsid w:val="001A1F47"/>
    <w:rsid w:val="001A238A"/>
    <w:rsid w:val="001A25C0"/>
    <w:rsid w:val="001A2630"/>
    <w:rsid w:val="001A2D05"/>
    <w:rsid w:val="001A3A20"/>
    <w:rsid w:val="001A3CC8"/>
    <w:rsid w:val="001A3D94"/>
    <w:rsid w:val="001A3E8B"/>
    <w:rsid w:val="001A4478"/>
    <w:rsid w:val="001A4583"/>
    <w:rsid w:val="001A47B9"/>
    <w:rsid w:val="001A50D4"/>
    <w:rsid w:val="001A5B4C"/>
    <w:rsid w:val="001A6C1F"/>
    <w:rsid w:val="001A71D4"/>
    <w:rsid w:val="001A7683"/>
    <w:rsid w:val="001A7C33"/>
    <w:rsid w:val="001A7CAC"/>
    <w:rsid w:val="001A7CDC"/>
    <w:rsid w:val="001A7EF1"/>
    <w:rsid w:val="001B0620"/>
    <w:rsid w:val="001B0AFC"/>
    <w:rsid w:val="001B0CAC"/>
    <w:rsid w:val="001B0F66"/>
    <w:rsid w:val="001B1595"/>
    <w:rsid w:val="001B1628"/>
    <w:rsid w:val="001B170D"/>
    <w:rsid w:val="001B1E38"/>
    <w:rsid w:val="001B1F5C"/>
    <w:rsid w:val="001B234F"/>
    <w:rsid w:val="001B24A9"/>
    <w:rsid w:val="001B2844"/>
    <w:rsid w:val="001B3820"/>
    <w:rsid w:val="001B3DAD"/>
    <w:rsid w:val="001B5713"/>
    <w:rsid w:val="001B5BA9"/>
    <w:rsid w:val="001B6A40"/>
    <w:rsid w:val="001B7508"/>
    <w:rsid w:val="001B7B65"/>
    <w:rsid w:val="001C12CD"/>
    <w:rsid w:val="001C14AA"/>
    <w:rsid w:val="001C1807"/>
    <w:rsid w:val="001C1AA7"/>
    <w:rsid w:val="001C1E37"/>
    <w:rsid w:val="001C2520"/>
    <w:rsid w:val="001C329C"/>
    <w:rsid w:val="001C329D"/>
    <w:rsid w:val="001C420F"/>
    <w:rsid w:val="001C48F5"/>
    <w:rsid w:val="001C4D49"/>
    <w:rsid w:val="001C5DE8"/>
    <w:rsid w:val="001C61D7"/>
    <w:rsid w:val="001C6B4C"/>
    <w:rsid w:val="001C6C1D"/>
    <w:rsid w:val="001C70DA"/>
    <w:rsid w:val="001C7400"/>
    <w:rsid w:val="001C772E"/>
    <w:rsid w:val="001C78D3"/>
    <w:rsid w:val="001C7F5A"/>
    <w:rsid w:val="001D0009"/>
    <w:rsid w:val="001D0583"/>
    <w:rsid w:val="001D0BE2"/>
    <w:rsid w:val="001D10A7"/>
    <w:rsid w:val="001D12F7"/>
    <w:rsid w:val="001D1521"/>
    <w:rsid w:val="001D1DDB"/>
    <w:rsid w:val="001D2095"/>
    <w:rsid w:val="001D2250"/>
    <w:rsid w:val="001D254E"/>
    <w:rsid w:val="001D2A78"/>
    <w:rsid w:val="001D3C44"/>
    <w:rsid w:val="001D48D9"/>
    <w:rsid w:val="001D5DEF"/>
    <w:rsid w:val="001D5F2D"/>
    <w:rsid w:val="001D6B4B"/>
    <w:rsid w:val="001D6E9D"/>
    <w:rsid w:val="001D7AED"/>
    <w:rsid w:val="001E0090"/>
    <w:rsid w:val="001E01DD"/>
    <w:rsid w:val="001E034E"/>
    <w:rsid w:val="001E0E08"/>
    <w:rsid w:val="001E1473"/>
    <w:rsid w:val="001E1B68"/>
    <w:rsid w:val="001E1BF1"/>
    <w:rsid w:val="001E27D8"/>
    <w:rsid w:val="001E28DC"/>
    <w:rsid w:val="001E4E63"/>
    <w:rsid w:val="001E51B1"/>
    <w:rsid w:val="001E6313"/>
    <w:rsid w:val="001E64E8"/>
    <w:rsid w:val="001E69A7"/>
    <w:rsid w:val="001E6FCC"/>
    <w:rsid w:val="001E768A"/>
    <w:rsid w:val="001E794E"/>
    <w:rsid w:val="001F03AC"/>
    <w:rsid w:val="001F0CAB"/>
    <w:rsid w:val="001F0FBA"/>
    <w:rsid w:val="001F12DF"/>
    <w:rsid w:val="001F22DF"/>
    <w:rsid w:val="001F26DB"/>
    <w:rsid w:val="001F2BA7"/>
    <w:rsid w:val="001F3567"/>
    <w:rsid w:val="001F4502"/>
    <w:rsid w:val="001F48D8"/>
    <w:rsid w:val="001F4A0C"/>
    <w:rsid w:val="001F53E3"/>
    <w:rsid w:val="001F5488"/>
    <w:rsid w:val="001F5660"/>
    <w:rsid w:val="001F5B56"/>
    <w:rsid w:val="001F609C"/>
    <w:rsid w:val="001F60EA"/>
    <w:rsid w:val="001F6281"/>
    <w:rsid w:val="001F62D6"/>
    <w:rsid w:val="001F6467"/>
    <w:rsid w:val="001F6A8A"/>
    <w:rsid w:val="001F77D1"/>
    <w:rsid w:val="001F7C40"/>
    <w:rsid w:val="00200065"/>
    <w:rsid w:val="002004C8"/>
    <w:rsid w:val="002009A0"/>
    <w:rsid w:val="00200F37"/>
    <w:rsid w:val="00201301"/>
    <w:rsid w:val="00201D97"/>
    <w:rsid w:val="00201F6A"/>
    <w:rsid w:val="00201FE4"/>
    <w:rsid w:val="002020F0"/>
    <w:rsid w:val="00202621"/>
    <w:rsid w:val="00202B9B"/>
    <w:rsid w:val="0020332C"/>
    <w:rsid w:val="00203374"/>
    <w:rsid w:val="002036BA"/>
    <w:rsid w:val="00203CF3"/>
    <w:rsid w:val="00203E2D"/>
    <w:rsid w:val="002051E7"/>
    <w:rsid w:val="00205333"/>
    <w:rsid w:val="0020570A"/>
    <w:rsid w:val="00205717"/>
    <w:rsid w:val="00205CE8"/>
    <w:rsid w:val="0020601B"/>
    <w:rsid w:val="002062B6"/>
    <w:rsid w:val="002064DD"/>
    <w:rsid w:val="002068DC"/>
    <w:rsid w:val="00206A5F"/>
    <w:rsid w:val="00206DDC"/>
    <w:rsid w:val="00207620"/>
    <w:rsid w:val="00207F72"/>
    <w:rsid w:val="002103CF"/>
    <w:rsid w:val="0021047C"/>
    <w:rsid w:val="00210571"/>
    <w:rsid w:val="00210757"/>
    <w:rsid w:val="002107D7"/>
    <w:rsid w:val="002112E1"/>
    <w:rsid w:val="0021177B"/>
    <w:rsid w:val="00211E93"/>
    <w:rsid w:val="00212719"/>
    <w:rsid w:val="00212903"/>
    <w:rsid w:val="00212B4C"/>
    <w:rsid w:val="00213689"/>
    <w:rsid w:val="00213788"/>
    <w:rsid w:val="00213EED"/>
    <w:rsid w:val="0021415D"/>
    <w:rsid w:val="00214BC3"/>
    <w:rsid w:val="00214BFF"/>
    <w:rsid w:val="00214D59"/>
    <w:rsid w:val="0021634A"/>
    <w:rsid w:val="00216D41"/>
    <w:rsid w:val="00216FF5"/>
    <w:rsid w:val="00217998"/>
    <w:rsid w:val="002200C8"/>
    <w:rsid w:val="00220F82"/>
    <w:rsid w:val="002216FD"/>
    <w:rsid w:val="0022188D"/>
    <w:rsid w:val="00221B53"/>
    <w:rsid w:val="00221EF0"/>
    <w:rsid w:val="0022276B"/>
    <w:rsid w:val="00222B4A"/>
    <w:rsid w:val="00222DC1"/>
    <w:rsid w:val="00223636"/>
    <w:rsid w:val="0022396A"/>
    <w:rsid w:val="00223BC7"/>
    <w:rsid w:val="00223EBB"/>
    <w:rsid w:val="00224092"/>
    <w:rsid w:val="0022611D"/>
    <w:rsid w:val="002267A5"/>
    <w:rsid w:val="00226ABC"/>
    <w:rsid w:val="00227055"/>
    <w:rsid w:val="00227909"/>
    <w:rsid w:val="00227B0B"/>
    <w:rsid w:val="00227F3F"/>
    <w:rsid w:val="00230420"/>
    <w:rsid w:val="00231480"/>
    <w:rsid w:val="0023219C"/>
    <w:rsid w:val="002321D9"/>
    <w:rsid w:val="0023225B"/>
    <w:rsid w:val="00232683"/>
    <w:rsid w:val="00233466"/>
    <w:rsid w:val="0023364C"/>
    <w:rsid w:val="0023432C"/>
    <w:rsid w:val="0023465F"/>
    <w:rsid w:val="0023477E"/>
    <w:rsid w:val="00234810"/>
    <w:rsid w:val="00234A89"/>
    <w:rsid w:val="002352BA"/>
    <w:rsid w:val="00235D46"/>
    <w:rsid w:val="002367C6"/>
    <w:rsid w:val="00237056"/>
    <w:rsid w:val="00237115"/>
    <w:rsid w:val="00237B2C"/>
    <w:rsid w:val="00237B48"/>
    <w:rsid w:val="002402C3"/>
    <w:rsid w:val="00240719"/>
    <w:rsid w:val="00240B46"/>
    <w:rsid w:val="00240CE4"/>
    <w:rsid w:val="00240FDE"/>
    <w:rsid w:val="00241143"/>
    <w:rsid w:val="00241179"/>
    <w:rsid w:val="0024196E"/>
    <w:rsid w:val="00241A77"/>
    <w:rsid w:val="002423ED"/>
    <w:rsid w:val="002424AD"/>
    <w:rsid w:val="00242807"/>
    <w:rsid w:val="00242C9C"/>
    <w:rsid w:val="00243405"/>
    <w:rsid w:val="00243BC6"/>
    <w:rsid w:val="002444BE"/>
    <w:rsid w:val="00244C37"/>
    <w:rsid w:val="00244D69"/>
    <w:rsid w:val="00244FE2"/>
    <w:rsid w:val="00245258"/>
    <w:rsid w:val="0024571D"/>
    <w:rsid w:val="00246691"/>
    <w:rsid w:val="00246862"/>
    <w:rsid w:val="002475B1"/>
    <w:rsid w:val="00247826"/>
    <w:rsid w:val="00247DD0"/>
    <w:rsid w:val="00250873"/>
    <w:rsid w:val="00250E1E"/>
    <w:rsid w:val="00251340"/>
    <w:rsid w:val="002513A5"/>
    <w:rsid w:val="002513B0"/>
    <w:rsid w:val="00251F4A"/>
    <w:rsid w:val="002523BF"/>
    <w:rsid w:val="00253F2C"/>
    <w:rsid w:val="00253F38"/>
    <w:rsid w:val="0025493F"/>
    <w:rsid w:val="00254DDC"/>
    <w:rsid w:val="00255114"/>
    <w:rsid w:val="00255749"/>
    <w:rsid w:val="00255B35"/>
    <w:rsid w:val="0025657A"/>
    <w:rsid w:val="00256FBD"/>
    <w:rsid w:val="00257D7B"/>
    <w:rsid w:val="0026059F"/>
    <w:rsid w:val="00260A89"/>
    <w:rsid w:val="00260B4A"/>
    <w:rsid w:val="00260D1A"/>
    <w:rsid w:val="00260D91"/>
    <w:rsid w:val="0026144C"/>
    <w:rsid w:val="00261E2F"/>
    <w:rsid w:val="0026265A"/>
    <w:rsid w:val="00262BEA"/>
    <w:rsid w:val="00263CE5"/>
    <w:rsid w:val="00264023"/>
    <w:rsid w:val="0026455B"/>
    <w:rsid w:val="00264EB4"/>
    <w:rsid w:val="00265671"/>
    <w:rsid w:val="00266917"/>
    <w:rsid w:val="00266C13"/>
    <w:rsid w:val="002674F7"/>
    <w:rsid w:val="002676C1"/>
    <w:rsid w:val="00267BA4"/>
    <w:rsid w:val="00267C9F"/>
    <w:rsid w:val="00267CB9"/>
    <w:rsid w:val="00267F65"/>
    <w:rsid w:val="002702C2"/>
    <w:rsid w:val="00270312"/>
    <w:rsid w:val="0027066F"/>
    <w:rsid w:val="00270672"/>
    <w:rsid w:val="00270EA4"/>
    <w:rsid w:val="00271532"/>
    <w:rsid w:val="00271CC3"/>
    <w:rsid w:val="0027262D"/>
    <w:rsid w:val="00272700"/>
    <w:rsid w:val="0027286D"/>
    <w:rsid w:val="00272FD6"/>
    <w:rsid w:val="002730E2"/>
    <w:rsid w:val="00273492"/>
    <w:rsid w:val="00273989"/>
    <w:rsid w:val="002739A6"/>
    <w:rsid w:val="00274671"/>
    <w:rsid w:val="002747AA"/>
    <w:rsid w:val="00274E2D"/>
    <w:rsid w:val="002751AB"/>
    <w:rsid w:val="002755DF"/>
    <w:rsid w:val="002757F4"/>
    <w:rsid w:val="00276090"/>
    <w:rsid w:val="002760B5"/>
    <w:rsid w:val="002763CF"/>
    <w:rsid w:val="002775AD"/>
    <w:rsid w:val="002775B4"/>
    <w:rsid w:val="00277691"/>
    <w:rsid w:val="00277C4A"/>
    <w:rsid w:val="00277C75"/>
    <w:rsid w:val="002806BA"/>
    <w:rsid w:val="0028072A"/>
    <w:rsid w:val="00281050"/>
    <w:rsid w:val="00281263"/>
    <w:rsid w:val="00281D65"/>
    <w:rsid w:val="002824AA"/>
    <w:rsid w:val="002830DA"/>
    <w:rsid w:val="00283B32"/>
    <w:rsid w:val="002842C2"/>
    <w:rsid w:val="002842F8"/>
    <w:rsid w:val="0028475E"/>
    <w:rsid w:val="00284803"/>
    <w:rsid w:val="00285550"/>
    <w:rsid w:val="00285D9F"/>
    <w:rsid w:val="00286476"/>
    <w:rsid w:val="002869D2"/>
    <w:rsid w:val="00286BA5"/>
    <w:rsid w:val="00286D50"/>
    <w:rsid w:val="00286F12"/>
    <w:rsid w:val="00287514"/>
    <w:rsid w:val="0028758F"/>
    <w:rsid w:val="00287A5E"/>
    <w:rsid w:val="00287E19"/>
    <w:rsid w:val="0029000C"/>
    <w:rsid w:val="0029066E"/>
    <w:rsid w:val="0029083B"/>
    <w:rsid w:val="002917ED"/>
    <w:rsid w:val="0029186E"/>
    <w:rsid w:val="00291D02"/>
    <w:rsid w:val="00292E9C"/>
    <w:rsid w:val="002930C0"/>
    <w:rsid w:val="00293466"/>
    <w:rsid w:val="002934FA"/>
    <w:rsid w:val="0029379E"/>
    <w:rsid w:val="0029382F"/>
    <w:rsid w:val="0029439D"/>
    <w:rsid w:val="002947A4"/>
    <w:rsid w:val="00294C6F"/>
    <w:rsid w:val="00295574"/>
    <w:rsid w:val="00295C9C"/>
    <w:rsid w:val="00295D28"/>
    <w:rsid w:val="00296476"/>
    <w:rsid w:val="00296876"/>
    <w:rsid w:val="002968B2"/>
    <w:rsid w:val="00296918"/>
    <w:rsid w:val="00296BC2"/>
    <w:rsid w:val="002A01B2"/>
    <w:rsid w:val="002A07AD"/>
    <w:rsid w:val="002A07EB"/>
    <w:rsid w:val="002A0AEF"/>
    <w:rsid w:val="002A102B"/>
    <w:rsid w:val="002A1070"/>
    <w:rsid w:val="002A10A4"/>
    <w:rsid w:val="002A18D9"/>
    <w:rsid w:val="002A1C32"/>
    <w:rsid w:val="002A1EA9"/>
    <w:rsid w:val="002A2666"/>
    <w:rsid w:val="002A2719"/>
    <w:rsid w:val="002A288A"/>
    <w:rsid w:val="002A30A1"/>
    <w:rsid w:val="002A57A0"/>
    <w:rsid w:val="002A6280"/>
    <w:rsid w:val="002A6C26"/>
    <w:rsid w:val="002A74C1"/>
    <w:rsid w:val="002A7627"/>
    <w:rsid w:val="002A7733"/>
    <w:rsid w:val="002A79E7"/>
    <w:rsid w:val="002A7B11"/>
    <w:rsid w:val="002B0CBF"/>
    <w:rsid w:val="002B1451"/>
    <w:rsid w:val="002B170F"/>
    <w:rsid w:val="002B1B8A"/>
    <w:rsid w:val="002B1CB9"/>
    <w:rsid w:val="002B2231"/>
    <w:rsid w:val="002B2CC5"/>
    <w:rsid w:val="002B2FA1"/>
    <w:rsid w:val="002B3378"/>
    <w:rsid w:val="002B3A61"/>
    <w:rsid w:val="002B41A1"/>
    <w:rsid w:val="002B4436"/>
    <w:rsid w:val="002B455A"/>
    <w:rsid w:val="002B4B63"/>
    <w:rsid w:val="002B4D86"/>
    <w:rsid w:val="002B557A"/>
    <w:rsid w:val="002B6395"/>
    <w:rsid w:val="002B63FF"/>
    <w:rsid w:val="002B6A42"/>
    <w:rsid w:val="002B7391"/>
    <w:rsid w:val="002B74CE"/>
    <w:rsid w:val="002B7649"/>
    <w:rsid w:val="002C03DF"/>
    <w:rsid w:val="002C0838"/>
    <w:rsid w:val="002C0C30"/>
    <w:rsid w:val="002C187A"/>
    <w:rsid w:val="002C1E41"/>
    <w:rsid w:val="002C1EB3"/>
    <w:rsid w:val="002C218C"/>
    <w:rsid w:val="002C26F7"/>
    <w:rsid w:val="002C2B1B"/>
    <w:rsid w:val="002C2B42"/>
    <w:rsid w:val="002C3781"/>
    <w:rsid w:val="002C40B7"/>
    <w:rsid w:val="002C4107"/>
    <w:rsid w:val="002C4CD2"/>
    <w:rsid w:val="002C4FF1"/>
    <w:rsid w:val="002C51FD"/>
    <w:rsid w:val="002C5712"/>
    <w:rsid w:val="002C5FCA"/>
    <w:rsid w:val="002C6088"/>
    <w:rsid w:val="002C6091"/>
    <w:rsid w:val="002C6A82"/>
    <w:rsid w:val="002C6C1C"/>
    <w:rsid w:val="002C6C76"/>
    <w:rsid w:val="002C73B6"/>
    <w:rsid w:val="002C7408"/>
    <w:rsid w:val="002C7C0D"/>
    <w:rsid w:val="002C7EDB"/>
    <w:rsid w:val="002D02E4"/>
    <w:rsid w:val="002D0D6C"/>
    <w:rsid w:val="002D154D"/>
    <w:rsid w:val="002D16D9"/>
    <w:rsid w:val="002D2DF6"/>
    <w:rsid w:val="002D41D9"/>
    <w:rsid w:val="002D4481"/>
    <w:rsid w:val="002D4800"/>
    <w:rsid w:val="002D59FC"/>
    <w:rsid w:val="002D5F24"/>
    <w:rsid w:val="002D66F5"/>
    <w:rsid w:val="002D696F"/>
    <w:rsid w:val="002D6C15"/>
    <w:rsid w:val="002D7042"/>
    <w:rsid w:val="002D72AD"/>
    <w:rsid w:val="002D7361"/>
    <w:rsid w:val="002E0BCA"/>
    <w:rsid w:val="002E1675"/>
    <w:rsid w:val="002E22DA"/>
    <w:rsid w:val="002E28D2"/>
    <w:rsid w:val="002E2976"/>
    <w:rsid w:val="002E29F8"/>
    <w:rsid w:val="002E359F"/>
    <w:rsid w:val="002E385A"/>
    <w:rsid w:val="002E3A69"/>
    <w:rsid w:val="002E4133"/>
    <w:rsid w:val="002E417B"/>
    <w:rsid w:val="002E4298"/>
    <w:rsid w:val="002E4D71"/>
    <w:rsid w:val="002E5E17"/>
    <w:rsid w:val="002E5E7D"/>
    <w:rsid w:val="002E66DE"/>
    <w:rsid w:val="002E6D02"/>
    <w:rsid w:val="002E6ECE"/>
    <w:rsid w:val="002E70FA"/>
    <w:rsid w:val="002E798F"/>
    <w:rsid w:val="002E7F3B"/>
    <w:rsid w:val="002F0D98"/>
    <w:rsid w:val="002F1EE2"/>
    <w:rsid w:val="002F2293"/>
    <w:rsid w:val="002F22DE"/>
    <w:rsid w:val="002F2A9C"/>
    <w:rsid w:val="002F2B1C"/>
    <w:rsid w:val="002F3560"/>
    <w:rsid w:val="002F3EFD"/>
    <w:rsid w:val="002F462A"/>
    <w:rsid w:val="002F4B30"/>
    <w:rsid w:val="002F59DE"/>
    <w:rsid w:val="002F5AD5"/>
    <w:rsid w:val="002F5BE4"/>
    <w:rsid w:val="002F657B"/>
    <w:rsid w:val="002F6CEE"/>
    <w:rsid w:val="002F7524"/>
    <w:rsid w:val="002F7F83"/>
    <w:rsid w:val="00300385"/>
    <w:rsid w:val="003006C1"/>
    <w:rsid w:val="00300DFB"/>
    <w:rsid w:val="00301413"/>
    <w:rsid w:val="00301B0A"/>
    <w:rsid w:val="00302071"/>
    <w:rsid w:val="00302E71"/>
    <w:rsid w:val="00303127"/>
    <w:rsid w:val="003043B5"/>
    <w:rsid w:val="003045F4"/>
    <w:rsid w:val="00304E8E"/>
    <w:rsid w:val="003056C2"/>
    <w:rsid w:val="00305713"/>
    <w:rsid w:val="0030598C"/>
    <w:rsid w:val="00305F7B"/>
    <w:rsid w:val="00306F51"/>
    <w:rsid w:val="00310C6A"/>
    <w:rsid w:val="00310DE9"/>
    <w:rsid w:val="00310E8A"/>
    <w:rsid w:val="00311B3F"/>
    <w:rsid w:val="00311C97"/>
    <w:rsid w:val="00311EFF"/>
    <w:rsid w:val="00312695"/>
    <w:rsid w:val="00312910"/>
    <w:rsid w:val="00312932"/>
    <w:rsid w:val="00312E53"/>
    <w:rsid w:val="00314385"/>
    <w:rsid w:val="003148E9"/>
    <w:rsid w:val="003148ED"/>
    <w:rsid w:val="00314D1B"/>
    <w:rsid w:val="00315100"/>
    <w:rsid w:val="00315A73"/>
    <w:rsid w:val="00316A7E"/>
    <w:rsid w:val="0032084E"/>
    <w:rsid w:val="0032237D"/>
    <w:rsid w:val="00322B64"/>
    <w:rsid w:val="00322F8A"/>
    <w:rsid w:val="003235A4"/>
    <w:rsid w:val="00323AA9"/>
    <w:rsid w:val="00323CD1"/>
    <w:rsid w:val="00323F8F"/>
    <w:rsid w:val="003245C6"/>
    <w:rsid w:val="00324652"/>
    <w:rsid w:val="00324771"/>
    <w:rsid w:val="003248E6"/>
    <w:rsid w:val="00325369"/>
    <w:rsid w:val="00325497"/>
    <w:rsid w:val="003258D4"/>
    <w:rsid w:val="00325EEB"/>
    <w:rsid w:val="00325F7E"/>
    <w:rsid w:val="0032624A"/>
    <w:rsid w:val="003266A8"/>
    <w:rsid w:val="0032689F"/>
    <w:rsid w:val="0032705C"/>
    <w:rsid w:val="00327108"/>
    <w:rsid w:val="00327134"/>
    <w:rsid w:val="003275A1"/>
    <w:rsid w:val="00327B67"/>
    <w:rsid w:val="00327CA1"/>
    <w:rsid w:val="00327DA8"/>
    <w:rsid w:val="003301A3"/>
    <w:rsid w:val="0033052F"/>
    <w:rsid w:val="00330E5B"/>
    <w:rsid w:val="0033154C"/>
    <w:rsid w:val="00331EB4"/>
    <w:rsid w:val="003321FB"/>
    <w:rsid w:val="0033251E"/>
    <w:rsid w:val="00332BE5"/>
    <w:rsid w:val="00332D3F"/>
    <w:rsid w:val="00333223"/>
    <w:rsid w:val="00333ECA"/>
    <w:rsid w:val="00334951"/>
    <w:rsid w:val="00334A9F"/>
    <w:rsid w:val="00334E83"/>
    <w:rsid w:val="003351DF"/>
    <w:rsid w:val="0033553C"/>
    <w:rsid w:val="003365FF"/>
    <w:rsid w:val="00336C93"/>
    <w:rsid w:val="003374BE"/>
    <w:rsid w:val="003404B1"/>
    <w:rsid w:val="00340508"/>
    <w:rsid w:val="003405BD"/>
    <w:rsid w:val="00340D2F"/>
    <w:rsid w:val="00341433"/>
    <w:rsid w:val="00341EE9"/>
    <w:rsid w:val="00342515"/>
    <w:rsid w:val="00342677"/>
    <w:rsid w:val="00342C75"/>
    <w:rsid w:val="00342D5F"/>
    <w:rsid w:val="003438B3"/>
    <w:rsid w:val="003439C9"/>
    <w:rsid w:val="00344A1F"/>
    <w:rsid w:val="00344AA0"/>
    <w:rsid w:val="00344AE4"/>
    <w:rsid w:val="00345A24"/>
    <w:rsid w:val="00345E4C"/>
    <w:rsid w:val="00345F76"/>
    <w:rsid w:val="0034702B"/>
    <w:rsid w:val="0034706F"/>
    <w:rsid w:val="00347637"/>
    <w:rsid w:val="00347880"/>
    <w:rsid w:val="00347BF3"/>
    <w:rsid w:val="00347C3A"/>
    <w:rsid w:val="00350103"/>
    <w:rsid w:val="00350281"/>
    <w:rsid w:val="00351A8E"/>
    <w:rsid w:val="00351EB8"/>
    <w:rsid w:val="00352454"/>
    <w:rsid w:val="003527B9"/>
    <w:rsid w:val="00352B19"/>
    <w:rsid w:val="00352EF5"/>
    <w:rsid w:val="00352F58"/>
    <w:rsid w:val="003532DC"/>
    <w:rsid w:val="0035367B"/>
    <w:rsid w:val="00353A64"/>
    <w:rsid w:val="00353B48"/>
    <w:rsid w:val="00353DD6"/>
    <w:rsid w:val="003542EE"/>
    <w:rsid w:val="003544B0"/>
    <w:rsid w:val="003548CB"/>
    <w:rsid w:val="00354DB1"/>
    <w:rsid w:val="00354DE4"/>
    <w:rsid w:val="00354ED2"/>
    <w:rsid w:val="00355037"/>
    <w:rsid w:val="0035525C"/>
    <w:rsid w:val="00355629"/>
    <w:rsid w:val="00355690"/>
    <w:rsid w:val="00355ECF"/>
    <w:rsid w:val="00356135"/>
    <w:rsid w:val="003564C5"/>
    <w:rsid w:val="0035669D"/>
    <w:rsid w:val="0035730C"/>
    <w:rsid w:val="00357462"/>
    <w:rsid w:val="00357EA6"/>
    <w:rsid w:val="00357EB7"/>
    <w:rsid w:val="00361281"/>
    <w:rsid w:val="0036193A"/>
    <w:rsid w:val="00361E7A"/>
    <w:rsid w:val="00361F47"/>
    <w:rsid w:val="00362B56"/>
    <w:rsid w:val="00362DD7"/>
    <w:rsid w:val="003630A2"/>
    <w:rsid w:val="003639E4"/>
    <w:rsid w:val="00363CD9"/>
    <w:rsid w:val="003648EB"/>
    <w:rsid w:val="00364C74"/>
    <w:rsid w:val="00364CC7"/>
    <w:rsid w:val="00365217"/>
    <w:rsid w:val="003658B8"/>
    <w:rsid w:val="00365ACE"/>
    <w:rsid w:val="00366178"/>
    <w:rsid w:val="00366367"/>
    <w:rsid w:val="00366E97"/>
    <w:rsid w:val="003670F2"/>
    <w:rsid w:val="0036727F"/>
    <w:rsid w:val="003678B7"/>
    <w:rsid w:val="00367E2E"/>
    <w:rsid w:val="003707AF"/>
    <w:rsid w:val="00370E48"/>
    <w:rsid w:val="00371457"/>
    <w:rsid w:val="003714B2"/>
    <w:rsid w:val="00371A07"/>
    <w:rsid w:val="00371C77"/>
    <w:rsid w:val="003723E9"/>
    <w:rsid w:val="00372974"/>
    <w:rsid w:val="00372C8E"/>
    <w:rsid w:val="00373021"/>
    <w:rsid w:val="003735EF"/>
    <w:rsid w:val="00373DF7"/>
    <w:rsid w:val="003746D6"/>
    <w:rsid w:val="00374C7F"/>
    <w:rsid w:val="003755BF"/>
    <w:rsid w:val="00375A72"/>
    <w:rsid w:val="00375D9F"/>
    <w:rsid w:val="00375F98"/>
    <w:rsid w:val="003766EE"/>
    <w:rsid w:val="0037729A"/>
    <w:rsid w:val="003777D3"/>
    <w:rsid w:val="00377B60"/>
    <w:rsid w:val="00377D28"/>
    <w:rsid w:val="00377D6B"/>
    <w:rsid w:val="00380048"/>
    <w:rsid w:val="003802CD"/>
    <w:rsid w:val="00380436"/>
    <w:rsid w:val="00380617"/>
    <w:rsid w:val="0038179E"/>
    <w:rsid w:val="0038209C"/>
    <w:rsid w:val="0038294D"/>
    <w:rsid w:val="00382965"/>
    <w:rsid w:val="00382B76"/>
    <w:rsid w:val="0038303C"/>
    <w:rsid w:val="0038330C"/>
    <w:rsid w:val="0038409E"/>
    <w:rsid w:val="00384D50"/>
    <w:rsid w:val="00384D79"/>
    <w:rsid w:val="00384DF4"/>
    <w:rsid w:val="00385565"/>
    <w:rsid w:val="003860B8"/>
    <w:rsid w:val="003863DF"/>
    <w:rsid w:val="003868F9"/>
    <w:rsid w:val="0038784B"/>
    <w:rsid w:val="00387BB4"/>
    <w:rsid w:val="00387C3A"/>
    <w:rsid w:val="00387CEA"/>
    <w:rsid w:val="00390400"/>
    <w:rsid w:val="00390794"/>
    <w:rsid w:val="00390865"/>
    <w:rsid w:val="003912BB"/>
    <w:rsid w:val="0039184C"/>
    <w:rsid w:val="00391DDE"/>
    <w:rsid w:val="003929E3"/>
    <w:rsid w:val="00392A69"/>
    <w:rsid w:val="003934E6"/>
    <w:rsid w:val="00393D21"/>
    <w:rsid w:val="003941AE"/>
    <w:rsid w:val="00394FE0"/>
    <w:rsid w:val="00395221"/>
    <w:rsid w:val="00395643"/>
    <w:rsid w:val="0039622A"/>
    <w:rsid w:val="003965BD"/>
    <w:rsid w:val="003965E6"/>
    <w:rsid w:val="003966B8"/>
    <w:rsid w:val="00396FD2"/>
    <w:rsid w:val="00397102"/>
    <w:rsid w:val="0039721F"/>
    <w:rsid w:val="003972E2"/>
    <w:rsid w:val="00397AA7"/>
    <w:rsid w:val="003A020C"/>
    <w:rsid w:val="003A0D65"/>
    <w:rsid w:val="003A1603"/>
    <w:rsid w:val="003A22DA"/>
    <w:rsid w:val="003A2A05"/>
    <w:rsid w:val="003A2AE1"/>
    <w:rsid w:val="003A2D87"/>
    <w:rsid w:val="003A34DC"/>
    <w:rsid w:val="003A3DBA"/>
    <w:rsid w:val="003A4DE7"/>
    <w:rsid w:val="003A4E19"/>
    <w:rsid w:val="003A539F"/>
    <w:rsid w:val="003A540C"/>
    <w:rsid w:val="003A5B31"/>
    <w:rsid w:val="003A5BF3"/>
    <w:rsid w:val="003A67B7"/>
    <w:rsid w:val="003A6903"/>
    <w:rsid w:val="003A7391"/>
    <w:rsid w:val="003A7404"/>
    <w:rsid w:val="003A743A"/>
    <w:rsid w:val="003A7509"/>
    <w:rsid w:val="003A7E46"/>
    <w:rsid w:val="003B03C1"/>
    <w:rsid w:val="003B09EC"/>
    <w:rsid w:val="003B12CF"/>
    <w:rsid w:val="003B16E6"/>
    <w:rsid w:val="003B1819"/>
    <w:rsid w:val="003B191F"/>
    <w:rsid w:val="003B2D45"/>
    <w:rsid w:val="003B2E46"/>
    <w:rsid w:val="003B2FEB"/>
    <w:rsid w:val="003B3114"/>
    <w:rsid w:val="003B31FD"/>
    <w:rsid w:val="003B321F"/>
    <w:rsid w:val="003B32E9"/>
    <w:rsid w:val="003B44EB"/>
    <w:rsid w:val="003B4902"/>
    <w:rsid w:val="003B49B9"/>
    <w:rsid w:val="003B4DF6"/>
    <w:rsid w:val="003B500A"/>
    <w:rsid w:val="003B541B"/>
    <w:rsid w:val="003B5607"/>
    <w:rsid w:val="003B62A0"/>
    <w:rsid w:val="003B6830"/>
    <w:rsid w:val="003C01E2"/>
    <w:rsid w:val="003C06F7"/>
    <w:rsid w:val="003C0B8B"/>
    <w:rsid w:val="003C0D6E"/>
    <w:rsid w:val="003C0D7E"/>
    <w:rsid w:val="003C15E1"/>
    <w:rsid w:val="003C1CD1"/>
    <w:rsid w:val="003C1F29"/>
    <w:rsid w:val="003C29D9"/>
    <w:rsid w:val="003C2CC1"/>
    <w:rsid w:val="003C3337"/>
    <w:rsid w:val="003C3612"/>
    <w:rsid w:val="003C385C"/>
    <w:rsid w:val="003C3899"/>
    <w:rsid w:val="003C3C3A"/>
    <w:rsid w:val="003C3CD2"/>
    <w:rsid w:val="003C3FCB"/>
    <w:rsid w:val="003C43AC"/>
    <w:rsid w:val="003C44F7"/>
    <w:rsid w:val="003C4791"/>
    <w:rsid w:val="003C4A5C"/>
    <w:rsid w:val="003C540E"/>
    <w:rsid w:val="003C5B83"/>
    <w:rsid w:val="003C5FEC"/>
    <w:rsid w:val="003C6597"/>
    <w:rsid w:val="003C6A5E"/>
    <w:rsid w:val="003C6C04"/>
    <w:rsid w:val="003C6DB9"/>
    <w:rsid w:val="003C7DD9"/>
    <w:rsid w:val="003D004D"/>
    <w:rsid w:val="003D0201"/>
    <w:rsid w:val="003D1A4D"/>
    <w:rsid w:val="003D1AC0"/>
    <w:rsid w:val="003D1DF4"/>
    <w:rsid w:val="003D2977"/>
    <w:rsid w:val="003D2B92"/>
    <w:rsid w:val="003D2CAF"/>
    <w:rsid w:val="003D2E43"/>
    <w:rsid w:val="003D341C"/>
    <w:rsid w:val="003D3793"/>
    <w:rsid w:val="003D3A77"/>
    <w:rsid w:val="003D4B5A"/>
    <w:rsid w:val="003D4EFE"/>
    <w:rsid w:val="003D4F0F"/>
    <w:rsid w:val="003D5274"/>
    <w:rsid w:val="003D552F"/>
    <w:rsid w:val="003D5AF1"/>
    <w:rsid w:val="003D5BD8"/>
    <w:rsid w:val="003D6320"/>
    <w:rsid w:val="003D67CB"/>
    <w:rsid w:val="003D7139"/>
    <w:rsid w:val="003D71F6"/>
    <w:rsid w:val="003D7297"/>
    <w:rsid w:val="003D748E"/>
    <w:rsid w:val="003D7632"/>
    <w:rsid w:val="003D7D16"/>
    <w:rsid w:val="003D7FDB"/>
    <w:rsid w:val="003E0227"/>
    <w:rsid w:val="003E073D"/>
    <w:rsid w:val="003E0B3C"/>
    <w:rsid w:val="003E1073"/>
    <w:rsid w:val="003E132E"/>
    <w:rsid w:val="003E1976"/>
    <w:rsid w:val="003E1D73"/>
    <w:rsid w:val="003E1DA8"/>
    <w:rsid w:val="003E2537"/>
    <w:rsid w:val="003E2CE0"/>
    <w:rsid w:val="003E3140"/>
    <w:rsid w:val="003E33D7"/>
    <w:rsid w:val="003E3592"/>
    <w:rsid w:val="003E372F"/>
    <w:rsid w:val="003E3745"/>
    <w:rsid w:val="003E3F92"/>
    <w:rsid w:val="003E41B3"/>
    <w:rsid w:val="003E453D"/>
    <w:rsid w:val="003E460E"/>
    <w:rsid w:val="003E4750"/>
    <w:rsid w:val="003E4916"/>
    <w:rsid w:val="003E4F16"/>
    <w:rsid w:val="003E531A"/>
    <w:rsid w:val="003E6116"/>
    <w:rsid w:val="003E645C"/>
    <w:rsid w:val="003E6ADC"/>
    <w:rsid w:val="003E7700"/>
    <w:rsid w:val="003E7735"/>
    <w:rsid w:val="003E79C5"/>
    <w:rsid w:val="003E7C95"/>
    <w:rsid w:val="003E7FAD"/>
    <w:rsid w:val="003F01D6"/>
    <w:rsid w:val="003F1140"/>
    <w:rsid w:val="003F1383"/>
    <w:rsid w:val="003F221A"/>
    <w:rsid w:val="003F2356"/>
    <w:rsid w:val="003F24FF"/>
    <w:rsid w:val="003F2D5E"/>
    <w:rsid w:val="003F3527"/>
    <w:rsid w:val="003F3761"/>
    <w:rsid w:val="003F3C2C"/>
    <w:rsid w:val="003F4F9A"/>
    <w:rsid w:val="003F53FC"/>
    <w:rsid w:val="003F5528"/>
    <w:rsid w:val="003F56EB"/>
    <w:rsid w:val="003F5729"/>
    <w:rsid w:val="003F5B1F"/>
    <w:rsid w:val="003F5C99"/>
    <w:rsid w:val="003F608D"/>
    <w:rsid w:val="003F6883"/>
    <w:rsid w:val="003F6A55"/>
    <w:rsid w:val="003F6E0D"/>
    <w:rsid w:val="003F6F3D"/>
    <w:rsid w:val="003F70DD"/>
    <w:rsid w:val="003F72A8"/>
    <w:rsid w:val="003F7578"/>
    <w:rsid w:val="0040014A"/>
    <w:rsid w:val="00400B85"/>
    <w:rsid w:val="004012BA"/>
    <w:rsid w:val="00401B30"/>
    <w:rsid w:val="00401C09"/>
    <w:rsid w:val="00401FD1"/>
    <w:rsid w:val="004022BD"/>
    <w:rsid w:val="00402ACD"/>
    <w:rsid w:val="00402B67"/>
    <w:rsid w:val="00402C29"/>
    <w:rsid w:val="00402C6B"/>
    <w:rsid w:val="00403154"/>
    <w:rsid w:val="00403415"/>
    <w:rsid w:val="00403F15"/>
    <w:rsid w:val="00403FA8"/>
    <w:rsid w:val="00404C11"/>
    <w:rsid w:val="00404E0E"/>
    <w:rsid w:val="00405349"/>
    <w:rsid w:val="004055E6"/>
    <w:rsid w:val="00405A0D"/>
    <w:rsid w:val="004065ED"/>
    <w:rsid w:val="004067DD"/>
    <w:rsid w:val="00407172"/>
    <w:rsid w:val="0040755B"/>
    <w:rsid w:val="00407B9F"/>
    <w:rsid w:val="004106F0"/>
    <w:rsid w:val="00410EA1"/>
    <w:rsid w:val="004110C7"/>
    <w:rsid w:val="00411152"/>
    <w:rsid w:val="00411377"/>
    <w:rsid w:val="00411651"/>
    <w:rsid w:val="00411A26"/>
    <w:rsid w:val="00411F93"/>
    <w:rsid w:val="00412886"/>
    <w:rsid w:val="00412A76"/>
    <w:rsid w:val="00412F69"/>
    <w:rsid w:val="004132CF"/>
    <w:rsid w:val="00415036"/>
    <w:rsid w:val="00415657"/>
    <w:rsid w:val="00415D19"/>
    <w:rsid w:val="004160CC"/>
    <w:rsid w:val="00416163"/>
    <w:rsid w:val="00416AB3"/>
    <w:rsid w:val="00416CF1"/>
    <w:rsid w:val="00416EE7"/>
    <w:rsid w:val="004176D0"/>
    <w:rsid w:val="00417701"/>
    <w:rsid w:val="00417BC7"/>
    <w:rsid w:val="00417CEE"/>
    <w:rsid w:val="00420056"/>
    <w:rsid w:val="0042020F"/>
    <w:rsid w:val="00420272"/>
    <w:rsid w:val="0042036F"/>
    <w:rsid w:val="00420B04"/>
    <w:rsid w:val="004212BC"/>
    <w:rsid w:val="004216AA"/>
    <w:rsid w:val="0042296E"/>
    <w:rsid w:val="004232BA"/>
    <w:rsid w:val="00423871"/>
    <w:rsid w:val="004239C2"/>
    <w:rsid w:val="00423B0A"/>
    <w:rsid w:val="00423BEA"/>
    <w:rsid w:val="00423C1D"/>
    <w:rsid w:val="00423D7B"/>
    <w:rsid w:val="00424C7B"/>
    <w:rsid w:val="00425356"/>
    <w:rsid w:val="00425576"/>
    <w:rsid w:val="00425B2E"/>
    <w:rsid w:val="00425ECF"/>
    <w:rsid w:val="004263B1"/>
    <w:rsid w:val="00426909"/>
    <w:rsid w:val="00426FCD"/>
    <w:rsid w:val="00430EBA"/>
    <w:rsid w:val="00431194"/>
    <w:rsid w:val="00431242"/>
    <w:rsid w:val="00432572"/>
    <w:rsid w:val="004328E8"/>
    <w:rsid w:val="00432B0D"/>
    <w:rsid w:val="00432BD7"/>
    <w:rsid w:val="00432C1E"/>
    <w:rsid w:val="00432EBC"/>
    <w:rsid w:val="004336E9"/>
    <w:rsid w:val="004338C0"/>
    <w:rsid w:val="00433C8F"/>
    <w:rsid w:val="00433D64"/>
    <w:rsid w:val="00434175"/>
    <w:rsid w:val="004347E3"/>
    <w:rsid w:val="00434944"/>
    <w:rsid w:val="00434A2F"/>
    <w:rsid w:val="00434DE7"/>
    <w:rsid w:val="00434F75"/>
    <w:rsid w:val="0043528E"/>
    <w:rsid w:val="00435598"/>
    <w:rsid w:val="004358C5"/>
    <w:rsid w:val="00435974"/>
    <w:rsid w:val="00436206"/>
    <w:rsid w:val="004369C0"/>
    <w:rsid w:val="00436DEB"/>
    <w:rsid w:val="00437483"/>
    <w:rsid w:val="00437E68"/>
    <w:rsid w:val="00440210"/>
    <w:rsid w:val="0044066C"/>
    <w:rsid w:val="004407E4"/>
    <w:rsid w:val="00440D86"/>
    <w:rsid w:val="00440F78"/>
    <w:rsid w:val="0044133E"/>
    <w:rsid w:val="0044141E"/>
    <w:rsid w:val="0044163D"/>
    <w:rsid w:val="00441A70"/>
    <w:rsid w:val="00441D25"/>
    <w:rsid w:val="0044207D"/>
    <w:rsid w:val="00442258"/>
    <w:rsid w:val="00442291"/>
    <w:rsid w:val="0044236F"/>
    <w:rsid w:val="00442993"/>
    <w:rsid w:val="00443431"/>
    <w:rsid w:val="004438E7"/>
    <w:rsid w:val="00444BFF"/>
    <w:rsid w:val="00444F05"/>
    <w:rsid w:val="004453BC"/>
    <w:rsid w:val="00445DED"/>
    <w:rsid w:val="00445F5B"/>
    <w:rsid w:val="004460FE"/>
    <w:rsid w:val="004466FD"/>
    <w:rsid w:val="004467E9"/>
    <w:rsid w:val="00447097"/>
    <w:rsid w:val="004471D4"/>
    <w:rsid w:val="004472AD"/>
    <w:rsid w:val="0044734E"/>
    <w:rsid w:val="00447433"/>
    <w:rsid w:val="00447580"/>
    <w:rsid w:val="004479DD"/>
    <w:rsid w:val="00447B91"/>
    <w:rsid w:val="00450C3D"/>
    <w:rsid w:val="00450D09"/>
    <w:rsid w:val="00450D6C"/>
    <w:rsid w:val="004515F2"/>
    <w:rsid w:val="00451D1C"/>
    <w:rsid w:val="004521B5"/>
    <w:rsid w:val="00452271"/>
    <w:rsid w:val="00452416"/>
    <w:rsid w:val="004525B2"/>
    <w:rsid w:val="004526A0"/>
    <w:rsid w:val="00453412"/>
    <w:rsid w:val="00453659"/>
    <w:rsid w:val="00454474"/>
    <w:rsid w:val="00454B13"/>
    <w:rsid w:val="00454B7E"/>
    <w:rsid w:val="00454BE8"/>
    <w:rsid w:val="00454CCA"/>
    <w:rsid w:val="00454DF8"/>
    <w:rsid w:val="00454F71"/>
    <w:rsid w:val="00455139"/>
    <w:rsid w:val="004551F9"/>
    <w:rsid w:val="00455846"/>
    <w:rsid w:val="00455E30"/>
    <w:rsid w:val="00456390"/>
    <w:rsid w:val="004566C7"/>
    <w:rsid w:val="004568A0"/>
    <w:rsid w:val="00456CBC"/>
    <w:rsid w:val="00456F61"/>
    <w:rsid w:val="00457226"/>
    <w:rsid w:val="00457279"/>
    <w:rsid w:val="004577F5"/>
    <w:rsid w:val="00460094"/>
    <w:rsid w:val="0046027D"/>
    <w:rsid w:val="004610EA"/>
    <w:rsid w:val="004613EE"/>
    <w:rsid w:val="00461606"/>
    <w:rsid w:val="00461CE9"/>
    <w:rsid w:val="004623F6"/>
    <w:rsid w:val="004628E9"/>
    <w:rsid w:val="00462E73"/>
    <w:rsid w:val="004631C7"/>
    <w:rsid w:val="00463DFF"/>
    <w:rsid w:val="00464059"/>
    <w:rsid w:val="004640CF"/>
    <w:rsid w:val="0046433E"/>
    <w:rsid w:val="00464BB9"/>
    <w:rsid w:val="00464C93"/>
    <w:rsid w:val="00464DC0"/>
    <w:rsid w:val="00465061"/>
    <w:rsid w:val="004655E9"/>
    <w:rsid w:val="004655F8"/>
    <w:rsid w:val="00465627"/>
    <w:rsid w:val="0046580D"/>
    <w:rsid w:val="004668BC"/>
    <w:rsid w:val="00467B4E"/>
    <w:rsid w:val="00467DBB"/>
    <w:rsid w:val="00467E6D"/>
    <w:rsid w:val="00470A05"/>
    <w:rsid w:val="00470CF4"/>
    <w:rsid w:val="004712D8"/>
    <w:rsid w:val="00471481"/>
    <w:rsid w:val="0047177A"/>
    <w:rsid w:val="00471931"/>
    <w:rsid w:val="0047202E"/>
    <w:rsid w:val="00472999"/>
    <w:rsid w:val="004729F9"/>
    <w:rsid w:val="00472C40"/>
    <w:rsid w:val="00472D0C"/>
    <w:rsid w:val="00473914"/>
    <w:rsid w:val="00473CC2"/>
    <w:rsid w:val="00474450"/>
    <w:rsid w:val="00474A9A"/>
    <w:rsid w:val="00474BE6"/>
    <w:rsid w:val="00474D18"/>
    <w:rsid w:val="00474DD6"/>
    <w:rsid w:val="00474EBA"/>
    <w:rsid w:val="00475327"/>
    <w:rsid w:val="004759E7"/>
    <w:rsid w:val="00475C52"/>
    <w:rsid w:val="0047639D"/>
    <w:rsid w:val="00476996"/>
    <w:rsid w:val="00476AEC"/>
    <w:rsid w:val="00476C79"/>
    <w:rsid w:val="00476EB5"/>
    <w:rsid w:val="0047740F"/>
    <w:rsid w:val="00477631"/>
    <w:rsid w:val="00477664"/>
    <w:rsid w:val="0047774B"/>
    <w:rsid w:val="00477D80"/>
    <w:rsid w:val="00480058"/>
    <w:rsid w:val="004803B6"/>
    <w:rsid w:val="0048064D"/>
    <w:rsid w:val="00480B55"/>
    <w:rsid w:val="00480D76"/>
    <w:rsid w:val="00480E41"/>
    <w:rsid w:val="00481339"/>
    <w:rsid w:val="00481888"/>
    <w:rsid w:val="00481CE6"/>
    <w:rsid w:val="00482146"/>
    <w:rsid w:val="004822A7"/>
    <w:rsid w:val="00482491"/>
    <w:rsid w:val="004832CE"/>
    <w:rsid w:val="00483C5A"/>
    <w:rsid w:val="00484928"/>
    <w:rsid w:val="00484E75"/>
    <w:rsid w:val="00485C98"/>
    <w:rsid w:val="00486707"/>
    <w:rsid w:val="004868B1"/>
    <w:rsid w:val="00486950"/>
    <w:rsid w:val="00486A6F"/>
    <w:rsid w:val="00487144"/>
    <w:rsid w:val="004878AA"/>
    <w:rsid w:val="00487BD5"/>
    <w:rsid w:val="00487C2D"/>
    <w:rsid w:val="00487E03"/>
    <w:rsid w:val="0049015B"/>
    <w:rsid w:val="00490A4B"/>
    <w:rsid w:val="00490EF9"/>
    <w:rsid w:val="004911A8"/>
    <w:rsid w:val="00491D26"/>
    <w:rsid w:val="0049225B"/>
    <w:rsid w:val="00492415"/>
    <w:rsid w:val="004924A0"/>
    <w:rsid w:val="004926BE"/>
    <w:rsid w:val="00492878"/>
    <w:rsid w:val="004928E3"/>
    <w:rsid w:val="00492A75"/>
    <w:rsid w:val="00492E82"/>
    <w:rsid w:val="004933C3"/>
    <w:rsid w:val="004934A1"/>
    <w:rsid w:val="0049352D"/>
    <w:rsid w:val="00493569"/>
    <w:rsid w:val="00493936"/>
    <w:rsid w:val="00493AD0"/>
    <w:rsid w:val="00493ADC"/>
    <w:rsid w:val="004944D8"/>
    <w:rsid w:val="00494F05"/>
    <w:rsid w:val="004950CE"/>
    <w:rsid w:val="0049567A"/>
    <w:rsid w:val="004956BD"/>
    <w:rsid w:val="0049583B"/>
    <w:rsid w:val="00495A8C"/>
    <w:rsid w:val="00495AA0"/>
    <w:rsid w:val="00495AE9"/>
    <w:rsid w:val="00496036"/>
    <w:rsid w:val="004960B8"/>
    <w:rsid w:val="004965E1"/>
    <w:rsid w:val="004967B3"/>
    <w:rsid w:val="00496A92"/>
    <w:rsid w:val="00496BFB"/>
    <w:rsid w:val="00497068"/>
    <w:rsid w:val="004971A0"/>
    <w:rsid w:val="0049797C"/>
    <w:rsid w:val="004979EC"/>
    <w:rsid w:val="004A0A63"/>
    <w:rsid w:val="004A0A9B"/>
    <w:rsid w:val="004A0E38"/>
    <w:rsid w:val="004A10A0"/>
    <w:rsid w:val="004A1625"/>
    <w:rsid w:val="004A1779"/>
    <w:rsid w:val="004A183D"/>
    <w:rsid w:val="004A198A"/>
    <w:rsid w:val="004A1C96"/>
    <w:rsid w:val="004A1D39"/>
    <w:rsid w:val="004A1DEF"/>
    <w:rsid w:val="004A1DF5"/>
    <w:rsid w:val="004A205A"/>
    <w:rsid w:val="004A241B"/>
    <w:rsid w:val="004A256A"/>
    <w:rsid w:val="004A33CF"/>
    <w:rsid w:val="004A416F"/>
    <w:rsid w:val="004A44B3"/>
    <w:rsid w:val="004A44B8"/>
    <w:rsid w:val="004A450C"/>
    <w:rsid w:val="004A4C7C"/>
    <w:rsid w:val="004A4E9B"/>
    <w:rsid w:val="004A5CBB"/>
    <w:rsid w:val="004A5D05"/>
    <w:rsid w:val="004A5F59"/>
    <w:rsid w:val="004B02AF"/>
    <w:rsid w:val="004B03B4"/>
    <w:rsid w:val="004B0558"/>
    <w:rsid w:val="004B0F62"/>
    <w:rsid w:val="004B11C6"/>
    <w:rsid w:val="004B11FE"/>
    <w:rsid w:val="004B12D2"/>
    <w:rsid w:val="004B13BA"/>
    <w:rsid w:val="004B13D9"/>
    <w:rsid w:val="004B1AD2"/>
    <w:rsid w:val="004B1AE2"/>
    <w:rsid w:val="004B2733"/>
    <w:rsid w:val="004B2E10"/>
    <w:rsid w:val="004B3726"/>
    <w:rsid w:val="004B3FB0"/>
    <w:rsid w:val="004B3FBF"/>
    <w:rsid w:val="004B4C12"/>
    <w:rsid w:val="004B5049"/>
    <w:rsid w:val="004B53C3"/>
    <w:rsid w:val="004B57A3"/>
    <w:rsid w:val="004B5F74"/>
    <w:rsid w:val="004B60E9"/>
    <w:rsid w:val="004B613A"/>
    <w:rsid w:val="004B64CF"/>
    <w:rsid w:val="004B7848"/>
    <w:rsid w:val="004B78B9"/>
    <w:rsid w:val="004B78FA"/>
    <w:rsid w:val="004B7ABF"/>
    <w:rsid w:val="004B7C04"/>
    <w:rsid w:val="004B7DAE"/>
    <w:rsid w:val="004B7FAB"/>
    <w:rsid w:val="004C00BB"/>
    <w:rsid w:val="004C016F"/>
    <w:rsid w:val="004C01E8"/>
    <w:rsid w:val="004C0487"/>
    <w:rsid w:val="004C0AFA"/>
    <w:rsid w:val="004C0CA3"/>
    <w:rsid w:val="004C1887"/>
    <w:rsid w:val="004C20FC"/>
    <w:rsid w:val="004C226B"/>
    <w:rsid w:val="004C273C"/>
    <w:rsid w:val="004C28EA"/>
    <w:rsid w:val="004C2D09"/>
    <w:rsid w:val="004C2DA3"/>
    <w:rsid w:val="004C2F5B"/>
    <w:rsid w:val="004C3352"/>
    <w:rsid w:val="004C376F"/>
    <w:rsid w:val="004C3826"/>
    <w:rsid w:val="004C3AD8"/>
    <w:rsid w:val="004C43A4"/>
    <w:rsid w:val="004C457F"/>
    <w:rsid w:val="004C4710"/>
    <w:rsid w:val="004C54DD"/>
    <w:rsid w:val="004C5759"/>
    <w:rsid w:val="004C584C"/>
    <w:rsid w:val="004C5DC6"/>
    <w:rsid w:val="004C63F8"/>
    <w:rsid w:val="004C6549"/>
    <w:rsid w:val="004C7707"/>
    <w:rsid w:val="004C7732"/>
    <w:rsid w:val="004C7CF3"/>
    <w:rsid w:val="004D01B0"/>
    <w:rsid w:val="004D085D"/>
    <w:rsid w:val="004D0FC8"/>
    <w:rsid w:val="004D13F6"/>
    <w:rsid w:val="004D14D4"/>
    <w:rsid w:val="004D15C8"/>
    <w:rsid w:val="004D1DAB"/>
    <w:rsid w:val="004D2047"/>
    <w:rsid w:val="004D20E0"/>
    <w:rsid w:val="004D2565"/>
    <w:rsid w:val="004D276C"/>
    <w:rsid w:val="004D2CA2"/>
    <w:rsid w:val="004D4276"/>
    <w:rsid w:val="004D4EF6"/>
    <w:rsid w:val="004D55AA"/>
    <w:rsid w:val="004D59A1"/>
    <w:rsid w:val="004D5D74"/>
    <w:rsid w:val="004D5E21"/>
    <w:rsid w:val="004D610F"/>
    <w:rsid w:val="004D61B8"/>
    <w:rsid w:val="004D754B"/>
    <w:rsid w:val="004D7E62"/>
    <w:rsid w:val="004D7EBB"/>
    <w:rsid w:val="004E0229"/>
    <w:rsid w:val="004E0310"/>
    <w:rsid w:val="004E0B72"/>
    <w:rsid w:val="004E0FD5"/>
    <w:rsid w:val="004E10C3"/>
    <w:rsid w:val="004E1675"/>
    <w:rsid w:val="004E188C"/>
    <w:rsid w:val="004E1FCD"/>
    <w:rsid w:val="004E22B2"/>
    <w:rsid w:val="004E3072"/>
    <w:rsid w:val="004E4105"/>
    <w:rsid w:val="004E42DD"/>
    <w:rsid w:val="004E499D"/>
    <w:rsid w:val="004E4A2C"/>
    <w:rsid w:val="004E4B9B"/>
    <w:rsid w:val="004E538D"/>
    <w:rsid w:val="004E5B40"/>
    <w:rsid w:val="004E656D"/>
    <w:rsid w:val="004E7002"/>
    <w:rsid w:val="004E7040"/>
    <w:rsid w:val="004E7689"/>
    <w:rsid w:val="004E77B5"/>
    <w:rsid w:val="004E7C39"/>
    <w:rsid w:val="004F010C"/>
    <w:rsid w:val="004F0C27"/>
    <w:rsid w:val="004F0EF0"/>
    <w:rsid w:val="004F2356"/>
    <w:rsid w:val="004F3205"/>
    <w:rsid w:val="004F3833"/>
    <w:rsid w:val="004F38A0"/>
    <w:rsid w:val="004F47F9"/>
    <w:rsid w:val="004F4FF7"/>
    <w:rsid w:val="004F504D"/>
    <w:rsid w:val="004F50E6"/>
    <w:rsid w:val="004F5862"/>
    <w:rsid w:val="004F5A4E"/>
    <w:rsid w:val="004F6955"/>
    <w:rsid w:val="004F6D05"/>
    <w:rsid w:val="004F77A3"/>
    <w:rsid w:val="00500333"/>
    <w:rsid w:val="00500BCB"/>
    <w:rsid w:val="00500C41"/>
    <w:rsid w:val="00500D4A"/>
    <w:rsid w:val="005011D7"/>
    <w:rsid w:val="005013F6"/>
    <w:rsid w:val="00501628"/>
    <w:rsid w:val="00501B13"/>
    <w:rsid w:val="00501D10"/>
    <w:rsid w:val="0050246F"/>
    <w:rsid w:val="005025D4"/>
    <w:rsid w:val="005026FE"/>
    <w:rsid w:val="00502A5C"/>
    <w:rsid w:val="00502B15"/>
    <w:rsid w:val="00502C15"/>
    <w:rsid w:val="00502D9F"/>
    <w:rsid w:val="0050334F"/>
    <w:rsid w:val="0050335B"/>
    <w:rsid w:val="00503792"/>
    <w:rsid w:val="0050390E"/>
    <w:rsid w:val="00504488"/>
    <w:rsid w:val="005051AC"/>
    <w:rsid w:val="00505CA0"/>
    <w:rsid w:val="005063D2"/>
    <w:rsid w:val="00506A60"/>
    <w:rsid w:val="00506BA5"/>
    <w:rsid w:val="00506BFE"/>
    <w:rsid w:val="0050714B"/>
    <w:rsid w:val="0050779B"/>
    <w:rsid w:val="00507B78"/>
    <w:rsid w:val="00507C87"/>
    <w:rsid w:val="00507CBB"/>
    <w:rsid w:val="00510512"/>
    <w:rsid w:val="00510795"/>
    <w:rsid w:val="005111F2"/>
    <w:rsid w:val="00511FCC"/>
    <w:rsid w:val="00512B91"/>
    <w:rsid w:val="00512BDE"/>
    <w:rsid w:val="00512FF0"/>
    <w:rsid w:val="005134F3"/>
    <w:rsid w:val="00513F9A"/>
    <w:rsid w:val="005143CD"/>
    <w:rsid w:val="0051442B"/>
    <w:rsid w:val="00514953"/>
    <w:rsid w:val="00515974"/>
    <w:rsid w:val="00516112"/>
    <w:rsid w:val="005161F7"/>
    <w:rsid w:val="00516437"/>
    <w:rsid w:val="0051671D"/>
    <w:rsid w:val="00516AC2"/>
    <w:rsid w:val="00517314"/>
    <w:rsid w:val="005177CD"/>
    <w:rsid w:val="005178FC"/>
    <w:rsid w:val="00520183"/>
    <w:rsid w:val="0052020F"/>
    <w:rsid w:val="00520BB5"/>
    <w:rsid w:val="00520D57"/>
    <w:rsid w:val="00521507"/>
    <w:rsid w:val="0052164D"/>
    <w:rsid w:val="0052179A"/>
    <w:rsid w:val="005217BD"/>
    <w:rsid w:val="00521A27"/>
    <w:rsid w:val="00521B07"/>
    <w:rsid w:val="00521C3B"/>
    <w:rsid w:val="0052201D"/>
    <w:rsid w:val="005223DC"/>
    <w:rsid w:val="00523657"/>
    <w:rsid w:val="00523BC7"/>
    <w:rsid w:val="00523EC7"/>
    <w:rsid w:val="00523FA1"/>
    <w:rsid w:val="005240B8"/>
    <w:rsid w:val="005244B3"/>
    <w:rsid w:val="005248CB"/>
    <w:rsid w:val="00524B53"/>
    <w:rsid w:val="00524B7E"/>
    <w:rsid w:val="00524DEB"/>
    <w:rsid w:val="00525190"/>
    <w:rsid w:val="005256DE"/>
    <w:rsid w:val="0052582B"/>
    <w:rsid w:val="00526965"/>
    <w:rsid w:val="00526B9B"/>
    <w:rsid w:val="00526EDB"/>
    <w:rsid w:val="00527009"/>
    <w:rsid w:val="00527F78"/>
    <w:rsid w:val="0053025B"/>
    <w:rsid w:val="00530FBD"/>
    <w:rsid w:val="00532324"/>
    <w:rsid w:val="0053254E"/>
    <w:rsid w:val="005325C3"/>
    <w:rsid w:val="005325C4"/>
    <w:rsid w:val="0053278F"/>
    <w:rsid w:val="005329F3"/>
    <w:rsid w:val="00533551"/>
    <w:rsid w:val="00533A70"/>
    <w:rsid w:val="00533DCC"/>
    <w:rsid w:val="00533E82"/>
    <w:rsid w:val="005358C7"/>
    <w:rsid w:val="00535C18"/>
    <w:rsid w:val="00535DDC"/>
    <w:rsid w:val="00535EAC"/>
    <w:rsid w:val="005361BC"/>
    <w:rsid w:val="005367E6"/>
    <w:rsid w:val="00536A50"/>
    <w:rsid w:val="00536D0D"/>
    <w:rsid w:val="005374D4"/>
    <w:rsid w:val="00537775"/>
    <w:rsid w:val="005379A6"/>
    <w:rsid w:val="00540696"/>
    <w:rsid w:val="00540F75"/>
    <w:rsid w:val="005415E1"/>
    <w:rsid w:val="00541AF8"/>
    <w:rsid w:val="00541C6E"/>
    <w:rsid w:val="00541CDF"/>
    <w:rsid w:val="0054260B"/>
    <w:rsid w:val="00542A55"/>
    <w:rsid w:val="00542D0A"/>
    <w:rsid w:val="00542E06"/>
    <w:rsid w:val="00543499"/>
    <w:rsid w:val="00543C0E"/>
    <w:rsid w:val="00543DDB"/>
    <w:rsid w:val="00544076"/>
    <w:rsid w:val="00544373"/>
    <w:rsid w:val="00544862"/>
    <w:rsid w:val="005453FF"/>
    <w:rsid w:val="005456D6"/>
    <w:rsid w:val="00545D4C"/>
    <w:rsid w:val="00546A39"/>
    <w:rsid w:val="005470E4"/>
    <w:rsid w:val="005500FE"/>
    <w:rsid w:val="00551513"/>
    <w:rsid w:val="0055154D"/>
    <w:rsid w:val="0055193C"/>
    <w:rsid w:val="00551C60"/>
    <w:rsid w:val="00552683"/>
    <w:rsid w:val="00552842"/>
    <w:rsid w:val="00553F3C"/>
    <w:rsid w:val="00554609"/>
    <w:rsid w:val="00554E39"/>
    <w:rsid w:val="00554F52"/>
    <w:rsid w:val="00555326"/>
    <w:rsid w:val="005554D7"/>
    <w:rsid w:val="005567C9"/>
    <w:rsid w:val="00556840"/>
    <w:rsid w:val="00556D06"/>
    <w:rsid w:val="005574DD"/>
    <w:rsid w:val="00557A5A"/>
    <w:rsid w:val="00557A75"/>
    <w:rsid w:val="00560300"/>
    <w:rsid w:val="00560CAB"/>
    <w:rsid w:val="005619D9"/>
    <w:rsid w:val="00561D9F"/>
    <w:rsid w:val="00561F6D"/>
    <w:rsid w:val="00562A41"/>
    <w:rsid w:val="00562E8E"/>
    <w:rsid w:val="0056398E"/>
    <w:rsid w:val="00563A70"/>
    <w:rsid w:val="00563A7B"/>
    <w:rsid w:val="00564A3F"/>
    <w:rsid w:val="00565A5D"/>
    <w:rsid w:val="00565C31"/>
    <w:rsid w:val="00565F49"/>
    <w:rsid w:val="005667CB"/>
    <w:rsid w:val="00566983"/>
    <w:rsid w:val="00566AF5"/>
    <w:rsid w:val="00567554"/>
    <w:rsid w:val="005675D1"/>
    <w:rsid w:val="00567CC0"/>
    <w:rsid w:val="0057036A"/>
    <w:rsid w:val="00570BC6"/>
    <w:rsid w:val="0057172F"/>
    <w:rsid w:val="00571F85"/>
    <w:rsid w:val="00572751"/>
    <w:rsid w:val="00573112"/>
    <w:rsid w:val="00573BF3"/>
    <w:rsid w:val="00573C78"/>
    <w:rsid w:val="00573FB2"/>
    <w:rsid w:val="005744E6"/>
    <w:rsid w:val="00574694"/>
    <w:rsid w:val="0057522E"/>
    <w:rsid w:val="00576533"/>
    <w:rsid w:val="0057688E"/>
    <w:rsid w:val="00577431"/>
    <w:rsid w:val="00577581"/>
    <w:rsid w:val="00577798"/>
    <w:rsid w:val="00577A4C"/>
    <w:rsid w:val="00577B18"/>
    <w:rsid w:val="00577E62"/>
    <w:rsid w:val="0058043F"/>
    <w:rsid w:val="0058059C"/>
    <w:rsid w:val="005808BD"/>
    <w:rsid w:val="00580CEE"/>
    <w:rsid w:val="00580DBF"/>
    <w:rsid w:val="0058152B"/>
    <w:rsid w:val="0058152E"/>
    <w:rsid w:val="0058234F"/>
    <w:rsid w:val="005825A2"/>
    <w:rsid w:val="0058271D"/>
    <w:rsid w:val="005827BD"/>
    <w:rsid w:val="0058358C"/>
    <w:rsid w:val="00583921"/>
    <w:rsid w:val="00583BAB"/>
    <w:rsid w:val="00583D06"/>
    <w:rsid w:val="0058471F"/>
    <w:rsid w:val="00584880"/>
    <w:rsid w:val="00584D94"/>
    <w:rsid w:val="00585473"/>
    <w:rsid w:val="00585B52"/>
    <w:rsid w:val="00586116"/>
    <w:rsid w:val="00586189"/>
    <w:rsid w:val="005869DA"/>
    <w:rsid w:val="00586DF2"/>
    <w:rsid w:val="00587113"/>
    <w:rsid w:val="005875FD"/>
    <w:rsid w:val="005878CC"/>
    <w:rsid w:val="00587935"/>
    <w:rsid w:val="00587F33"/>
    <w:rsid w:val="005902DA"/>
    <w:rsid w:val="005907E5"/>
    <w:rsid w:val="00591795"/>
    <w:rsid w:val="00591E81"/>
    <w:rsid w:val="0059250B"/>
    <w:rsid w:val="00592B14"/>
    <w:rsid w:val="00592F16"/>
    <w:rsid w:val="005933B9"/>
    <w:rsid w:val="0059368A"/>
    <w:rsid w:val="005938C3"/>
    <w:rsid w:val="005948F3"/>
    <w:rsid w:val="00594933"/>
    <w:rsid w:val="00594E8F"/>
    <w:rsid w:val="00595434"/>
    <w:rsid w:val="00595550"/>
    <w:rsid w:val="0059631F"/>
    <w:rsid w:val="00596773"/>
    <w:rsid w:val="00596863"/>
    <w:rsid w:val="00596BA4"/>
    <w:rsid w:val="00596DE1"/>
    <w:rsid w:val="005A08CD"/>
    <w:rsid w:val="005A1296"/>
    <w:rsid w:val="005A1751"/>
    <w:rsid w:val="005A1765"/>
    <w:rsid w:val="005A18ED"/>
    <w:rsid w:val="005A1DEE"/>
    <w:rsid w:val="005A2721"/>
    <w:rsid w:val="005A27D3"/>
    <w:rsid w:val="005A28F6"/>
    <w:rsid w:val="005A36DA"/>
    <w:rsid w:val="005A3D34"/>
    <w:rsid w:val="005A4140"/>
    <w:rsid w:val="005A42F0"/>
    <w:rsid w:val="005A4A10"/>
    <w:rsid w:val="005A5915"/>
    <w:rsid w:val="005A5970"/>
    <w:rsid w:val="005A6A86"/>
    <w:rsid w:val="005A6DDD"/>
    <w:rsid w:val="005A710C"/>
    <w:rsid w:val="005A770B"/>
    <w:rsid w:val="005A7CC2"/>
    <w:rsid w:val="005B07A7"/>
    <w:rsid w:val="005B07F8"/>
    <w:rsid w:val="005B0A2E"/>
    <w:rsid w:val="005B0A93"/>
    <w:rsid w:val="005B0B58"/>
    <w:rsid w:val="005B11B6"/>
    <w:rsid w:val="005B14AC"/>
    <w:rsid w:val="005B1970"/>
    <w:rsid w:val="005B1B96"/>
    <w:rsid w:val="005B1FB9"/>
    <w:rsid w:val="005B2007"/>
    <w:rsid w:val="005B20B5"/>
    <w:rsid w:val="005B267D"/>
    <w:rsid w:val="005B2BFF"/>
    <w:rsid w:val="005B2E62"/>
    <w:rsid w:val="005B3284"/>
    <w:rsid w:val="005B32B3"/>
    <w:rsid w:val="005B3BFB"/>
    <w:rsid w:val="005B4435"/>
    <w:rsid w:val="005B46D6"/>
    <w:rsid w:val="005B4A42"/>
    <w:rsid w:val="005B4BDD"/>
    <w:rsid w:val="005B625F"/>
    <w:rsid w:val="005B65FA"/>
    <w:rsid w:val="005B69C0"/>
    <w:rsid w:val="005B7412"/>
    <w:rsid w:val="005B7553"/>
    <w:rsid w:val="005B7570"/>
    <w:rsid w:val="005B7A38"/>
    <w:rsid w:val="005B7D20"/>
    <w:rsid w:val="005B7F3E"/>
    <w:rsid w:val="005C03F3"/>
    <w:rsid w:val="005C0A00"/>
    <w:rsid w:val="005C0BE0"/>
    <w:rsid w:val="005C11E7"/>
    <w:rsid w:val="005C213E"/>
    <w:rsid w:val="005C2247"/>
    <w:rsid w:val="005C25E4"/>
    <w:rsid w:val="005C2A23"/>
    <w:rsid w:val="005C3376"/>
    <w:rsid w:val="005C3D31"/>
    <w:rsid w:val="005C3F43"/>
    <w:rsid w:val="005C44E3"/>
    <w:rsid w:val="005C4DC4"/>
    <w:rsid w:val="005C5B23"/>
    <w:rsid w:val="005C6858"/>
    <w:rsid w:val="005C7679"/>
    <w:rsid w:val="005D0080"/>
    <w:rsid w:val="005D020C"/>
    <w:rsid w:val="005D08FE"/>
    <w:rsid w:val="005D1001"/>
    <w:rsid w:val="005D1315"/>
    <w:rsid w:val="005D16FE"/>
    <w:rsid w:val="005D1C3C"/>
    <w:rsid w:val="005D1CC8"/>
    <w:rsid w:val="005D1E36"/>
    <w:rsid w:val="005D1E45"/>
    <w:rsid w:val="005D2A8F"/>
    <w:rsid w:val="005D32D8"/>
    <w:rsid w:val="005D33C8"/>
    <w:rsid w:val="005D3A02"/>
    <w:rsid w:val="005D4534"/>
    <w:rsid w:val="005D48DF"/>
    <w:rsid w:val="005D4E4E"/>
    <w:rsid w:val="005D55F6"/>
    <w:rsid w:val="005D6448"/>
    <w:rsid w:val="005D64E0"/>
    <w:rsid w:val="005D67F8"/>
    <w:rsid w:val="005D731E"/>
    <w:rsid w:val="005D7931"/>
    <w:rsid w:val="005E04A0"/>
    <w:rsid w:val="005E09AD"/>
    <w:rsid w:val="005E0C5D"/>
    <w:rsid w:val="005E0F27"/>
    <w:rsid w:val="005E10D4"/>
    <w:rsid w:val="005E23CB"/>
    <w:rsid w:val="005E2A36"/>
    <w:rsid w:val="005E2C8A"/>
    <w:rsid w:val="005E3511"/>
    <w:rsid w:val="005E389A"/>
    <w:rsid w:val="005E39B2"/>
    <w:rsid w:val="005E3CD1"/>
    <w:rsid w:val="005E3FF3"/>
    <w:rsid w:val="005E449C"/>
    <w:rsid w:val="005E4BAE"/>
    <w:rsid w:val="005E4DBE"/>
    <w:rsid w:val="005E5417"/>
    <w:rsid w:val="005E6241"/>
    <w:rsid w:val="005E63F5"/>
    <w:rsid w:val="005E6632"/>
    <w:rsid w:val="005E66FA"/>
    <w:rsid w:val="005E68D9"/>
    <w:rsid w:val="005E70F4"/>
    <w:rsid w:val="005E7741"/>
    <w:rsid w:val="005E7B5F"/>
    <w:rsid w:val="005E7B84"/>
    <w:rsid w:val="005F08A4"/>
    <w:rsid w:val="005F0B6B"/>
    <w:rsid w:val="005F17E0"/>
    <w:rsid w:val="005F1BEE"/>
    <w:rsid w:val="005F1E63"/>
    <w:rsid w:val="005F20FC"/>
    <w:rsid w:val="005F3531"/>
    <w:rsid w:val="005F3CA2"/>
    <w:rsid w:val="005F4075"/>
    <w:rsid w:val="005F42D9"/>
    <w:rsid w:val="005F4306"/>
    <w:rsid w:val="005F4421"/>
    <w:rsid w:val="005F4A7A"/>
    <w:rsid w:val="005F59AC"/>
    <w:rsid w:val="005F5D57"/>
    <w:rsid w:val="005F5DB5"/>
    <w:rsid w:val="005F6832"/>
    <w:rsid w:val="005F6881"/>
    <w:rsid w:val="005F777F"/>
    <w:rsid w:val="00600BAA"/>
    <w:rsid w:val="00600C0B"/>
    <w:rsid w:val="00600CFF"/>
    <w:rsid w:val="00600D61"/>
    <w:rsid w:val="0060118F"/>
    <w:rsid w:val="00601FE8"/>
    <w:rsid w:val="006021A3"/>
    <w:rsid w:val="00602352"/>
    <w:rsid w:val="006027B7"/>
    <w:rsid w:val="00602D6E"/>
    <w:rsid w:val="00603B40"/>
    <w:rsid w:val="00603E9F"/>
    <w:rsid w:val="00604C7A"/>
    <w:rsid w:val="00604F54"/>
    <w:rsid w:val="0060589D"/>
    <w:rsid w:val="00605AC5"/>
    <w:rsid w:val="006062A3"/>
    <w:rsid w:val="006074BD"/>
    <w:rsid w:val="0060780D"/>
    <w:rsid w:val="00607BDF"/>
    <w:rsid w:val="00607F8B"/>
    <w:rsid w:val="00610048"/>
    <w:rsid w:val="0061007A"/>
    <w:rsid w:val="00610368"/>
    <w:rsid w:val="006104A9"/>
    <w:rsid w:val="006104CA"/>
    <w:rsid w:val="00610517"/>
    <w:rsid w:val="00610576"/>
    <w:rsid w:val="006107DE"/>
    <w:rsid w:val="00610AD8"/>
    <w:rsid w:val="00610FA3"/>
    <w:rsid w:val="00611662"/>
    <w:rsid w:val="006116FD"/>
    <w:rsid w:val="00611B66"/>
    <w:rsid w:val="00611EF9"/>
    <w:rsid w:val="006129D1"/>
    <w:rsid w:val="006129EF"/>
    <w:rsid w:val="00612A27"/>
    <w:rsid w:val="006135FB"/>
    <w:rsid w:val="00613681"/>
    <w:rsid w:val="006137B8"/>
    <w:rsid w:val="00613AE2"/>
    <w:rsid w:val="00613E4B"/>
    <w:rsid w:val="0061439B"/>
    <w:rsid w:val="00614AA0"/>
    <w:rsid w:val="00614B99"/>
    <w:rsid w:val="00614CEA"/>
    <w:rsid w:val="00614CEE"/>
    <w:rsid w:val="00615251"/>
    <w:rsid w:val="0061531E"/>
    <w:rsid w:val="00615D5A"/>
    <w:rsid w:val="006163DA"/>
    <w:rsid w:val="00616613"/>
    <w:rsid w:val="0061671E"/>
    <w:rsid w:val="0061690B"/>
    <w:rsid w:val="00616C54"/>
    <w:rsid w:val="00616DCE"/>
    <w:rsid w:val="00616FD8"/>
    <w:rsid w:val="00617C5B"/>
    <w:rsid w:val="00617DBC"/>
    <w:rsid w:val="00620584"/>
    <w:rsid w:val="00620A3E"/>
    <w:rsid w:val="00621143"/>
    <w:rsid w:val="006213A2"/>
    <w:rsid w:val="00621D13"/>
    <w:rsid w:val="00622892"/>
    <w:rsid w:val="00622C80"/>
    <w:rsid w:val="00623066"/>
    <w:rsid w:val="006239BB"/>
    <w:rsid w:val="00623A46"/>
    <w:rsid w:val="00623F54"/>
    <w:rsid w:val="00624207"/>
    <w:rsid w:val="00624D5A"/>
    <w:rsid w:val="00625363"/>
    <w:rsid w:val="006256BB"/>
    <w:rsid w:val="00625DEB"/>
    <w:rsid w:val="00625E37"/>
    <w:rsid w:val="00626A57"/>
    <w:rsid w:val="00626CEC"/>
    <w:rsid w:val="00626DB8"/>
    <w:rsid w:val="00626EFF"/>
    <w:rsid w:val="00627B8E"/>
    <w:rsid w:val="00627CF7"/>
    <w:rsid w:val="00627D7D"/>
    <w:rsid w:val="00627D9F"/>
    <w:rsid w:val="00627E29"/>
    <w:rsid w:val="0063090C"/>
    <w:rsid w:val="00630BB9"/>
    <w:rsid w:val="00631604"/>
    <w:rsid w:val="006317E4"/>
    <w:rsid w:val="006320D6"/>
    <w:rsid w:val="0063218F"/>
    <w:rsid w:val="00632812"/>
    <w:rsid w:val="00632885"/>
    <w:rsid w:val="0063294D"/>
    <w:rsid w:val="00632A8C"/>
    <w:rsid w:val="006331BE"/>
    <w:rsid w:val="006332A7"/>
    <w:rsid w:val="006334B9"/>
    <w:rsid w:val="00633C88"/>
    <w:rsid w:val="006340DC"/>
    <w:rsid w:val="006350F4"/>
    <w:rsid w:val="0063530A"/>
    <w:rsid w:val="0063537E"/>
    <w:rsid w:val="006369D1"/>
    <w:rsid w:val="00636F9C"/>
    <w:rsid w:val="0063724A"/>
    <w:rsid w:val="00637FF1"/>
    <w:rsid w:val="00640119"/>
    <w:rsid w:val="00640310"/>
    <w:rsid w:val="00640FDB"/>
    <w:rsid w:val="0064110F"/>
    <w:rsid w:val="00641322"/>
    <w:rsid w:val="00641471"/>
    <w:rsid w:val="00641BBB"/>
    <w:rsid w:val="00641D10"/>
    <w:rsid w:val="00642807"/>
    <w:rsid w:val="00642A4F"/>
    <w:rsid w:val="00643920"/>
    <w:rsid w:val="00643B1C"/>
    <w:rsid w:val="00644D65"/>
    <w:rsid w:val="00644D73"/>
    <w:rsid w:val="00646393"/>
    <w:rsid w:val="0064646B"/>
    <w:rsid w:val="00646652"/>
    <w:rsid w:val="006475A0"/>
    <w:rsid w:val="00647657"/>
    <w:rsid w:val="00647809"/>
    <w:rsid w:val="00647854"/>
    <w:rsid w:val="00650620"/>
    <w:rsid w:val="00650715"/>
    <w:rsid w:val="006508CB"/>
    <w:rsid w:val="00650FD9"/>
    <w:rsid w:val="006513D9"/>
    <w:rsid w:val="00652938"/>
    <w:rsid w:val="00652992"/>
    <w:rsid w:val="006533EE"/>
    <w:rsid w:val="00653797"/>
    <w:rsid w:val="00653B38"/>
    <w:rsid w:val="00653C8D"/>
    <w:rsid w:val="006540F3"/>
    <w:rsid w:val="00654307"/>
    <w:rsid w:val="006548BF"/>
    <w:rsid w:val="00654DFF"/>
    <w:rsid w:val="00655A91"/>
    <w:rsid w:val="00656336"/>
    <w:rsid w:val="00657471"/>
    <w:rsid w:val="006574D2"/>
    <w:rsid w:val="00657830"/>
    <w:rsid w:val="00660A05"/>
    <w:rsid w:val="00660D40"/>
    <w:rsid w:val="0066129D"/>
    <w:rsid w:val="00661466"/>
    <w:rsid w:val="00661FC7"/>
    <w:rsid w:val="006627B9"/>
    <w:rsid w:val="00662B73"/>
    <w:rsid w:val="00663595"/>
    <w:rsid w:val="00663B86"/>
    <w:rsid w:val="00663C37"/>
    <w:rsid w:val="00663C80"/>
    <w:rsid w:val="00663DF8"/>
    <w:rsid w:val="00664BB3"/>
    <w:rsid w:val="00664C0C"/>
    <w:rsid w:val="006651D0"/>
    <w:rsid w:val="00665748"/>
    <w:rsid w:val="00665C2B"/>
    <w:rsid w:val="00665C47"/>
    <w:rsid w:val="00665C4A"/>
    <w:rsid w:val="006663FA"/>
    <w:rsid w:val="00666D34"/>
    <w:rsid w:val="00666FF9"/>
    <w:rsid w:val="0066704E"/>
    <w:rsid w:val="0066754D"/>
    <w:rsid w:val="00667C77"/>
    <w:rsid w:val="0067014F"/>
    <w:rsid w:val="006703CE"/>
    <w:rsid w:val="006703D8"/>
    <w:rsid w:val="006704A1"/>
    <w:rsid w:val="0067070A"/>
    <w:rsid w:val="00671152"/>
    <w:rsid w:val="00671F36"/>
    <w:rsid w:val="0067280B"/>
    <w:rsid w:val="00672818"/>
    <w:rsid w:val="00673642"/>
    <w:rsid w:val="006739E1"/>
    <w:rsid w:val="00673D1A"/>
    <w:rsid w:val="00673F01"/>
    <w:rsid w:val="00674013"/>
    <w:rsid w:val="006740A2"/>
    <w:rsid w:val="00674256"/>
    <w:rsid w:val="00674279"/>
    <w:rsid w:val="00674C07"/>
    <w:rsid w:val="00674E15"/>
    <w:rsid w:val="00675044"/>
    <w:rsid w:val="0067570A"/>
    <w:rsid w:val="00675915"/>
    <w:rsid w:val="0067679E"/>
    <w:rsid w:val="00676FD9"/>
    <w:rsid w:val="00677538"/>
    <w:rsid w:val="0068024B"/>
    <w:rsid w:val="00680A15"/>
    <w:rsid w:val="006816D2"/>
    <w:rsid w:val="0068174A"/>
    <w:rsid w:val="00681C09"/>
    <w:rsid w:val="00681E7B"/>
    <w:rsid w:val="0068201F"/>
    <w:rsid w:val="0068204D"/>
    <w:rsid w:val="006820EE"/>
    <w:rsid w:val="006821E0"/>
    <w:rsid w:val="00683605"/>
    <w:rsid w:val="006836DA"/>
    <w:rsid w:val="00683B0A"/>
    <w:rsid w:val="00683DB6"/>
    <w:rsid w:val="00683FC7"/>
    <w:rsid w:val="00684574"/>
    <w:rsid w:val="00684849"/>
    <w:rsid w:val="00684DAB"/>
    <w:rsid w:val="006850C4"/>
    <w:rsid w:val="00685171"/>
    <w:rsid w:val="00685943"/>
    <w:rsid w:val="0068650D"/>
    <w:rsid w:val="006867A9"/>
    <w:rsid w:val="0068713D"/>
    <w:rsid w:val="00687302"/>
    <w:rsid w:val="0068735C"/>
    <w:rsid w:val="006873DF"/>
    <w:rsid w:val="0069028A"/>
    <w:rsid w:val="00690365"/>
    <w:rsid w:val="00690C74"/>
    <w:rsid w:val="00690F34"/>
    <w:rsid w:val="00691FD4"/>
    <w:rsid w:val="00692384"/>
    <w:rsid w:val="006929F9"/>
    <w:rsid w:val="00693312"/>
    <w:rsid w:val="00693592"/>
    <w:rsid w:val="00693694"/>
    <w:rsid w:val="00693C0A"/>
    <w:rsid w:val="006941E7"/>
    <w:rsid w:val="00694685"/>
    <w:rsid w:val="006951EB"/>
    <w:rsid w:val="00695573"/>
    <w:rsid w:val="006957DF"/>
    <w:rsid w:val="00695856"/>
    <w:rsid w:val="00695F80"/>
    <w:rsid w:val="00696439"/>
    <w:rsid w:val="006967C3"/>
    <w:rsid w:val="00697187"/>
    <w:rsid w:val="006972A5"/>
    <w:rsid w:val="006974EF"/>
    <w:rsid w:val="006975D1"/>
    <w:rsid w:val="00697856"/>
    <w:rsid w:val="00697B00"/>
    <w:rsid w:val="006A037D"/>
    <w:rsid w:val="006A072B"/>
    <w:rsid w:val="006A0AD3"/>
    <w:rsid w:val="006A0E1D"/>
    <w:rsid w:val="006A10F0"/>
    <w:rsid w:val="006A13CD"/>
    <w:rsid w:val="006A175A"/>
    <w:rsid w:val="006A1880"/>
    <w:rsid w:val="006A1AB9"/>
    <w:rsid w:val="006A1CC7"/>
    <w:rsid w:val="006A202F"/>
    <w:rsid w:val="006A2158"/>
    <w:rsid w:val="006A27E3"/>
    <w:rsid w:val="006A2BD5"/>
    <w:rsid w:val="006A2EDB"/>
    <w:rsid w:val="006A322B"/>
    <w:rsid w:val="006A3630"/>
    <w:rsid w:val="006A365F"/>
    <w:rsid w:val="006A38AB"/>
    <w:rsid w:val="006A3CFE"/>
    <w:rsid w:val="006A3ECD"/>
    <w:rsid w:val="006A474D"/>
    <w:rsid w:val="006A4A90"/>
    <w:rsid w:val="006A53A4"/>
    <w:rsid w:val="006A564A"/>
    <w:rsid w:val="006A59EF"/>
    <w:rsid w:val="006A6A8E"/>
    <w:rsid w:val="006A6C97"/>
    <w:rsid w:val="006A708C"/>
    <w:rsid w:val="006A727B"/>
    <w:rsid w:val="006B1ABE"/>
    <w:rsid w:val="006B297C"/>
    <w:rsid w:val="006B39C6"/>
    <w:rsid w:val="006B3F4E"/>
    <w:rsid w:val="006B4093"/>
    <w:rsid w:val="006B42AF"/>
    <w:rsid w:val="006B447E"/>
    <w:rsid w:val="006B46A6"/>
    <w:rsid w:val="006B49C1"/>
    <w:rsid w:val="006B4CD9"/>
    <w:rsid w:val="006B4E30"/>
    <w:rsid w:val="006B5234"/>
    <w:rsid w:val="006B5492"/>
    <w:rsid w:val="006B5639"/>
    <w:rsid w:val="006B5A85"/>
    <w:rsid w:val="006B670C"/>
    <w:rsid w:val="006B6F42"/>
    <w:rsid w:val="006B7EDD"/>
    <w:rsid w:val="006C09AC"/>
    <w:rsid w:val="006C0BA9"/>
    <w:rsid w:val="006C0F21"/>
    <w:rsid w:val="006C13B7"/>
    <w:rsid w:val="006C1415"/>
    <w:rsid w:val="006C1ED4"/>
    <w:rsid w:val="006C2186"/>
    <w:rsid w:val="006C2D82"/>
    <w:rsid w:val="006C2E6D"/>
    <w:rsid w:val="006C2F8D"/>
    <w:rsid w:val="006C2FC6"/>
    <w:rsid w:val="006C34BC"/>
    <w:rsid w:val="006C4F7B"/>
    <w:rsid w:val="006C5933"/>
    <w:rsid w:val="006C5A79"/>
    <w:rsid w:val="006C5F96"/>
    <w:rsid w:val="006C6CFD"/>
    <w:rsid w:val="006C6F86"/>
    <w:rsid w:val="006C7CAD"/>
    <w:rsid w:val="006D0DAB"/>
    <w:rsid w:val="006D1F42"/>
    <w:rsid w:val="006D2219"/>
    <w:rsid w:val="006D23BE"/>
    <w:rsid w:val="006D2548"/>
    <w:rsid w:val="006D271F"/>
    <w:rsid w:val="006D2E0C"/>
    <w:rsid w:val="006D3291"/>
    <w:rsid w:val="006D33F4"/>
    <w:rsid w:val="006D41C0"/>
    <w:rsid w:val="006D4388"/>
    <w:rsid w:val="006D44C5"/>
    <w:rsid w:val="006D4620"/>
    <w:rsid w:val="006D4761"/>
    <w:rsid w:val="006D4763"/>
    <w:rsid w:val="006D4CD1"/>
    <w:rsid w:val="006D4E61"/>
    <w:rsid w:val="006D53F8"/>
    <w:rsid w:val="006D55A5"/>
    <w:rsid w:val="006D65E4"/>
    <w:rsid w:val="006D67D7"/>
    <w:rsid w:val="006D701F"/>
    <w:rsid w:val="006D7041"/>
    <w:rsid w:val="006D7609"/>
    <w:rsid w:val="006D7AE7"/>
    <w:rsid w:val="006D7AFC"/>
    <w:rsid w:val="006E0129"/>
    <w:rsid w:val="006E03F9"/>
    <w:rsid w:val="006E09CD"/>
    <w:rsid w:val="006E0ADE"/>
    <w:rsid w:val="006E0F35"/>
    <w:rsid w:val="006E1464"/>
    <w:rsid w:val="006E238D"/>
    <w:rsid w:val="006E2429"/>
    <w:rsid w:val="006E2579"/>
    <w:rsid w:val="006E27C0"/>
    <w:rsid w:val="006E30A7"/>
    <w:rsid w:val="006E3272"/>
    <w:rsid w:val="006E32AB"/>
    <w:rsid w:val="006E34DF"/>
    <w:rsid w:val="006E3546"/>
    <w:rsid w:val="006E3881"/>
    <w:rsid w:val="006E3DA0"/>
    <w:rsid w:val="006E4ADF"/>
    <w:rsid w:val="006E4E49"/>
    <w:rsid w:val="006E4FA0"/>
    <w:rsid w:val="006E4FF3"/>
    <w:rsid w:val="006E5415"/>
    <w:rsid w:val="006E5793"/>
    <w:rsid w:val="006E5DAC"/>
    <w:rsid w:val="006E66A7"/>
    <w:rsid w:val="006E67F9"/>
    <w:rsid w:val="006E73F3"/>
    <w:rsid w:val="006E787A"/>
    <w:rsid w:val="006E7ACB"/>
    <w:rsid w:val="006E7D66"/>
    <w:rsid w:val="006F00FF"/>
    <w:rsid w:val="006F0CEE"/>
    <w:rsid w:val="006F0D13"/>
    <w:rsid w:val="006F132F"/>
    <w:rsid w:val="006F16E4"/>
    <w:rsid w:val="006F1AC9"/>
    <w:rsid w:val="006F1B9B"/>
    <w:rsid w:val="006F1F81"/>
    <w:rsid w:val="006F2D85"/>
    <w:rsid w:val="006F3A37"/>
    <w:rsid w:val="006F3BEC"/>
    <w:rsid w:val="006F3E88"/>
    <w:rsid w:val="006F4067"/>
    <w:rsid w:val="006F4434"/>
    <w:rsid w:val="006F4484"/>
    <w:rsid w:val="006F58E9"/>
    <w:rsid w:val="006F5E5A"/>
    <w:rsid w:val="006F5F3D"/>
    <w:rsid w:val="006F690D"/>
    <w:rsid w:val="006F6BEC"/>
    <w:rsid w:val="006F6D46"/>
    <w:rsid w:val="006F6EE9"/>
    <w:rsid w:val="006F7668"/>
    <w:rsid w:val="007004EE"/>
    <w:rsid w:val="0070062E"/>
    <w:rsid w:val="00700982"/>
    <w:rsid w:val="00701A4B"/>
    <w:rsid w:val="00701A6E"/>
    <w:rsid w:val="00701AF2"/>
    <w:rsid w:val="0070268A"/>
    <w:rsid w:val="00702AE1"/>
    <w:rsid w:val="00702C32"/>
    <w:rsid w:val="0070351E"/>
    <w:rsid w:val="0070357F"/>
    <w:rsid w:val="00703A77"/>
    <w:rsid w:val="00703B33"/>
    <w:rsid w:val="007041FD"/>
    <w:rsid w:val="00705326"/>
    <w:rsid w:val="0070557A"/>
    <w:rsid w:val="00705ACA"/>
    <w:rsid w:val="00705F60"/>
    <w:rsid w:val="007063F3"/>
    <w:rsid w:val="007067B7"/>
    <w:rsid w:val="0070696A"/>
    <w:rsid w:val="00706C77"/>
    <w:rsid w:val="00707FE6"/>
    <w:rsid w:val="0071054C"/>
    <w:rsid w:val="0071131E"/>
    <w:rsid w:val="007116D8"/>
    <w:rsid w:val="00711EBA"/>
    <w:rsid w:val="00712482"/>
    <w:rsid w:val="0071280E"/>
    <w:rsid w:val="00712AC4"/>
    <w:rsid w:val="00712F64"/>
    <w:rsid w:val="00713336"/>
    <w:rsid w:val="007133D5"/>
    <w:rsid w:val="0071344B"/>
    <w:rsid w:val="007143CC"/>
    <w:rsid w:val="007145FB"/>
    <w:rsid w:val="00714690"/>
    <w:rsid w:val="00715290"/>
    <w:rsid w:val="00715ABF"/>
    <w:rsid w:val="00715F9F"/>
    <w:rsid w:val="0071694E"/>
    <w:rsid w:val="00716FB8"/>
    <w:rsid w:val="00720A0B"/>
    <w:rsid w:val="00720A63"/>
    <w:rsid w:val="00720AEB"/>
    <w:rsid w:val="007216B9"/>
    <w:rsid w:val="00721BB9"/>
    <w:rsid w:val="00721F97"/>
    <w:rsid w:val="00722665"/>
    <w:rsid w:val="00722EB0"/>
    <w:rsid w:val="00722F6E"/>
    <w:rsid w:val="00722FC0"/>
    <w:rsid w:val="007236CA"/>
    <w:rsid w:val="00723AEE"/>
    <w:rsid w:val="00724866"/>
    <w:rsid w:val="00724D6B"/>
    <w:rsid w:val="00724F37"/>
    <w:rsid w:val="007252E0"/>
    <w:rsid w:val="00725A2C"/>
    <w:rsid w:val="00725A52"/>
    <w:rsid w:val="00725B24"/>
    <w:rsid w:val="00725CD0"/>
    <w:rsid w:val="00725D05"/>
    <w:rsid w:val="00725FF2"/>
    <w:rsid w:val="007263FC"/>
    <w:rsid w:val="0072687E"/>
    <w:rsid w:val="00726D57"/>
    <w:rsid w:val="007272B5"/>
    <w:rsid w:val="0072747F"/>
    <w:rsid w:val="00727656"/>
    <w:rsid w:val="00730518"/>
    <w:rsid w:val="007306AA"/>
    <w:rsid w:val="00730F76"/>
    <w:rsid w:val="0073152C"/>
    <w:rsid w:val="00731665"/>
    <w:rsid w:val="00731684"/>
    <w:rsid w:val="007319A0"/>
    <w:rsid w:val="00731FC2"/>
    <w:rsid w:val="00732337"/>
    <w:rsid w:val="00732761"/>
    <w:rsid w:val="0073299E"/>
    <w:rsid w:val="00732AC5"/>
    <w:rsid w:val="00732C3C"/>
    <w:rsid w:val="00733186"/>
    <w:rsid w:val="00733DF8"/>
    <w:rsid w:val="00733F27"/>
    <w:rsid w:val="007343AD"/>
    <w:rsid w:val="007345FB"/>
    <w:rsid w:val="007348EE"/>
    <w:rsid w:val="00734952"/>
    <w:rsid w:val="007351DE"/>
    <w:rsid w:val="00735B9D"/>
    <w:rsid w:val="00735EF0"/>
    <w:rsid w:val="0073604E"/>
    <w:rsid w:val="007361A0"/>
    <w:rsid w:val="0073651C"/>
    <w:rsid w:val="00736755"/>
    <w:rsid w:val="00736C68"/>
    <w:rsid w:val="007377A3"/>
    <w:rsid w:val="00737FBE"/>
    <w:rsid w:val="007405BE"/>
    <w:rsid w:val="00740677"/>
    <w:rsid w:val="007408A8"/>
    <w:rsid w:val="00740CAA"/>
    <w:rsid w:val="00740F9B"/>
    <w:rsid w:val="007418FB"/>
    <w:rsid w:val="00741D92"/>
    <w:rsid w:val="00742363"/>
    <w:rsid w:val="007424F5"/>
    <w:rsid w:val="00742703"/>
    <w:rsid w:val="0074369A"/>
    <w:rsid w:val="007437F3"/>
    <w:rsid w:val="00743A05"/>
    <w:rsid w:val="00743B6B"/>
    <w:rsid w:val="0074412C"/>
    <w:rsid w:val="00744CC4"/>
    <w:rsid w:val="00745671"/>
    <w:rsid w:val="0074591A"/>
    <w:rsid w:val="007460DF"/>
    <w:rsid w:val="007467BE"/>
    <w:rsid w:val="0074685A"/>
    <w:rsid w:val="00746954"/>
    <w:rsid w:val="00746AEA"/>
    <w:rsid w:val="00746EDC"/>
    <w:rsid w:val="007471AD"/>
    <w:rsid w:val="007472E1"/>
    <w:rsid w:val="00747513"/>
    <w:rsid w:val="0074754B"/>
    <w:rsid w:val="007476DE"/>
    <w:rsid w:val="00750325"/>
    <w:rsid w:val="0075056E"/>
    <w:rsid w:val="00750841"/>
    <w:rsid w:val="007511E6"/>
    <w:rsid w:val="007514F9"/>
    <w:rsid w:val="00751565"/>
    <w:rsid w:val="00751BBF"/>
    <w:rsid w:val="007523AF"/>
    <w:rsid w:val="00752D20"/>
    <w:rsid w:val="00752E83"/>
    <w:rsid w:val="00752F23"/>
    <w:rsid w:val="0075300A"/>
    <w:rsid w:val="00753161"/>
    <w:rsid w:val="00753404"/>
    <w:rsid w:val="0075350E"/>
    <w:rsid w:val="00753E29"/>
    <w:rsid w:val="0075408C"/>
    <w:rsid w:val="00754A4D"/>
    <w:rsid w:val="00754FC8"/>
    <w:rsid w:val="007550ED"/>
    <w:rsid w:val="00755CC2"/>
    <w:rsid w:val="00756359"/>
    <w:rsid w:val="00757080"/>
    <w:rsid w:val="0075730E"/>
    <w:rsid w:val="007578A8"/>
    <w:rsid w:val="007579E3"/>
    <w:rsid w:val="00757C39"/>
    <w:rsid w:val="0076060A"/>
    <w:rsid w:val="00760CDF"/>
    <w:rsid w:val="00760E67"/>
    <w:rsid w:val="007611F4"/>
    <w:rsid w:val="007615E7"/>
    <w:rsid w:val="007619B2"/>
    <w:rsid w:val="00761CB3"/>
    <w:rsid w:val="00762CF2"/>
    <w:rsid w:val="007637F4"/>
    <w:rsid w:val="007639B0"/>
    <w:rsid w:val="00763F4E"/>
    <w:rsid w:val="00764454"/>
    <w:rsid w:val="00764A63"/>
    <w:rsid w:val="00764C2F"/>
    <w:rsid w:val="00764F9B"/>
    <w:rsid w:val="0076554C"/>
    <w:rsid w:val="00765E23"/>
    <w:rsid w:val="00765FAC"/>
    <w:rsid w:val="00766AA4"/>
    <w:rsid w:val="007674CF"/>
    <w:rsid w:val="007675F5"/>
    <w:rsid w:val="00767856"/>
    <w:rsid w:val="00770512"/>
    <w:rsid w:val="00770C9B"/>
    <w:rsid w:val="00770FD7"/>
    <w:rsid w:val="00771771"/>
    <w:rsid w:val="007717A7"/>
    <w:rsid w:val="00771D51"/>
    <w:rsid w:val="0077226A"/>
    <w:rsid w:val="00772470"/>
    <w:rsid w:val="007724A9"/>
    <w:rsid w:val="00772614"/>
    <w:rsid w:val="00772B16"/>
    <w:rsid w:val="00772F67"/>
    <w:rsid w:val="00772FFF"/>
    <w:rsid w:val="007737BB"/>
    <w:rsid w:val="00773DD8"/>
    <w:rsid w:val="00773E26"/>
    <w:rsid w:val="0077513F"/>
    <w:rsid w:val="00775CA4"/>
    <w:rsid w:val="00775CC7"/>
    <w:rsid w:val="00775D18"/>
    <w:rsid w:val="00775E03"/>
    <w:rsid w:val="00776277"/>
    <w:rsid w:val="00776406"/>
    <w:rsid w:val="0077748F"/>
    <w:rsid w:val="00777755"/>
    <w:rsid w:val="00780126"/>
    <w:rsid w:val="0078013C"/>
    <w:rsid w:val="0078032F"/>
    <w:rsid w:val="00781804"/>
    <w:rsid w:val="00781EE6"/>
    <w:rsid w:val="007828CA"/>
    <w:rsid w:val="00782ACD"/>
    <w:rsid w:val="007831E4"/>
    <w:rsid w:val="007832AB"/>
    <w:rsid w:val="0078331B"/>
    <w:rsid w:val="007841D7"/>
    <w:rsid w:val="00784809"/>
    <w:rsid w:val="00784890"/>
    <w:rsid w:val="0078649B"/>
    <w:rsid w:val="007900DC"/>
    <w:rsid w:val="00790733"/>
    <w:rsid w:val="00790E70"/>
    <w:rsid w:val="00790F54"/>
    <w:rsid w:val="00791A44"/>
    <w:rsid w:val="00791F62"/>
    <w:rsid w:val="007928FB"/>
    <w:rsid w:val="007939DA"/>
    <w:rsid w:val="00793F06"/>
    <w:rsid w:val="0079572A"/>
    <w:rsid w:val="00795E4F"/>
    <w:rsid w:val="00795F76"/>
    <w:rsid w:val="00796177"/>
    <w:rsid w:val="007965C4"/>
    <w:rsid w:val="007966F7"/>
    <w:rsid w:val="00796B4A"/>
    <w:rsid w:val="007A0974"/>
    <w:rsid w:val="007A0CFC"/>
    <w:rsid w:val="007A1495"/>
    <w:rsid w:val="007A1543"/>
    <w:rsid w:val="007A15CB"/>
    <w:rsid w:val="007A1912"/>
    <w:rsid w:val="007A1945"/>
    <w:rsid w:val="007A196E"/>
    <w:rsid w:val="007A2093"/>
    <w:rsid w:val="007A2478"/>
    <w:rsid w:val="007A3ACA"/>
    <w:rsid w:val="007A3DA1"/>
    <w:rsid w:val="007A466F"/>
    <w:rsid w:val="007A483F"/>
    <w:rsid w:val="007A4C52"/>
    <w:rsid w:val="007A528D"/>
    <w:rsid w:val="007A591A"/>
    <w:rsid w:val="007A636A"/>
    <w:rsid w:val="007A68F4"/>
    <w:rsid w:val="007A699E"/>
    <w:rsid w:val="007A70DE"/>
    <w:rsid w:val="007A71B9"/>
    <w:rsid w:val="007A7A70"/>
    <w:rsid w:val="007B0F37"/>
    <w:rsid w:val="007B12A5"/>
    <w:rsid w:val="007B145C"/>
    <w:rsid w:val="007B1544"/>
    <w:rsid w:val="007B1583"/>
    <w:rsid w:val="007B18C6"/>
    <w:rsid w:val="007B1BCA"/>
    <w:rsid w:val="007B2485"/>
    <w:rsid w:val="007B2C08"/>
    <w:rsid w:val="007B3C48"/>
    <w:rsid w:val="007B3D11"/>
    <w:rsid w:val="007B3D81"/>
    <w:rsid w:val="007B3F73"/>
    <w:rsid w:val="007B407A"/>
    <w:rsid w:val="007B4303"/>
    <w:rsid w:val="007B4566"/>
    <w:rsid w:val="007B4608"/>
    <w:rsid w:val="007B4A4E"/>
    <w:rsid w:val="007B6992"/>
    <w:rsid w:val="007B71FC"/>
    <w:rsid w:val="007B75E0"/>
    <w:rsid w:val="007B7892"/>
    <w:rsid w:val="007B78AE"/>
    <w:rsid w:val="007B7E7F"/>
    <w:rsid w:val="007B7EBD"/>
    <w:rsid w:val="007C0435"/>
    <w:rsid w:val="007C045D"/>
    <w:rsid w:val="007C0613"/>
    <w:rsid w:val="007C0B69"/>
    <w:rsid w:val="007C1166"/>
    <w:rsid w:val="007C14CA"/>
    <w:rsid w:val="007C154B"/>
    <w:rsid w:val="007C1589"/>
    <w:rsid w:val="007C18E3"/>
    <w:rsid w:val="007C1D6C"/>
    <w:rsid w:val="007C2520"/>
    <w:rsid w:val="007C29D5"/>
    <w:rsid w:val="007C2B4F"/>
    <w:rsid w:val="007C2C49"/>
    <w:rsid w:val="007C2ED0"/>
    <w:rsid w:val="007C33E3"/>
    <w:rsid w:val="007C3565"/>
    <w:rsid w:val="007C43AA"/>
    <w:rsid w:val="007C43FC"/>
    <w:rsid w:val="007C45BF"/>
    <w:rsid w:val="007C4E82"/>
    <w:rsid w:val="007C5868"/>
    <w:rsid w:val="007C5DB6"/>
    <w:rsid w:val="007C6439"/>
    <w:rsid w:val="007C66F7"/>
    <w:rsid w:val="007C6AFA"/>
    <w:rsid w:val="007C71C5"/>
    <w:rsid w:val="007C74CB"/>
    <w:rsid w:val="007D0B33"/>
    <w:rsid w:val="007D0CC3"/>
    <w:rsid w:val="007D11AC"/>
    <w:rsid w:val="007D18C0"/>
    <w:rsid w:val="007D1905"/>
    <w:rsid w:val="007D1CF2"/>
    <w:rsid w:val="007D1ED5"/>
    <w:rsid w:val="007D280F"/>
    <w:rsid w:val="007D29F0"/>
    <w:rsid w:val="007D2E8B"/>
    <w:rsid w:val="007D2FE8"/>
    <w:rsid w:val="007D3238"/>
    <w:rsid w:val="007D37EF"/>
    <w:rsid w:val="007D3AAE"/>
    <w:rsid w:val="007D3D7A"/>
    <w:rsid w:val="007D4382"/>
    <w:rsid w:val="007D47AF"/>
    <w:rsid w:val="007D4A10"/>
    <w:rsid w:val="007D5881"/>
    <w:rsid w:val="007D5BC4"/>
    <w:rsid w:val="007D6318"/>
    <w:rsid w:val="007D66D7"/>
    <w:rsid w:val="007D66F4"/>
    <w:rsid w:val="007D6DCB"/>
    <w:rsid w:val="007D7536"/>
    <w:rsid w:val="007D78B6"/>
    <w:rsid w:val="007D7C4F"/>
    <w:rsid w:val="007E039C"/>
    <w:rsid w:val="007E0C73"/>
    <w:rsid w:val="007E0DAD"/>
    <w:rsid w:val="007E159D"/>
    <w:rsid w:val="007E164C"/>
    <w:rsid w:val="007E1758"/>
    <w:rsid w:val="007E1CEF"/>
    <w:rsid w:val="007E1DAA"/>
    <w:rsid w:val="007E24BF"/>
    <w:rsid w:val="007E301A"/>
    <w:rsid w:val="007E3793"/>
    <w:rsid w:val="007E43B3"/>
    <w:rsid w:val="007E4F7C"/>
    <w:rsid w:val="007E5040"/>
    <w:rsid w:val="007E514E"/>
    <w:rsid w:val="007E589A"/>
    <w:rsid w:val="007E6584"/>
    <w:rsid w:val="007E6A26"/>
    <w:rsid w:val="007E6B3D"/>
    <w:rsid w:val="007E74DD"/>
    <w:rsid w:val="007E762D"/>
    <w:rsid w:val="007E7924"/>
    <w:rsid w:val="007F0287"/>
    <w:rsid w:val="007F06E7"/>
    <w:rsid w:val="007F0C67"/>
    <w:rsid w:val="007F0F4E"/>
    <w:rsid w:val="007F12BB"/>
    <w:rsid w:val="007F1562"/>
    <w:rsid w:val="007F196D"/>
    <w:rsid w:val="007F19E2"/>
    <w:rsid w:val="007F1E2E"/>
    <w:rsid w:val="007F2145"/>
    <w:rsid w:val="007F21FB"/>
    <w:rsid w:val="007F29CA"/>
    <w:rsid w:val="007F306F"/>
    <w:rsid w:val="007F326B"/>
    <w:rsid w:val="007F39A5"/>
    <w:rsid w:val="007F442C"/>
    <w:rsid w:val="007F5D41"/>
    <w:rsid w:val="007F695D"/>
    <w:rsid w:val="007F6F9B"/>
    <w:rsid w:val="007F75C1"/>
    <w:rsid w:val="007F77CF"/>
    <w:rsid w:val="007F78E0"/>
    <w:rsid w:val="008000F5"/>
    <w:rsid w:val="0080087B"/>
    <w:rsid w:val="00800D51"/>
    <w:rsid w:val="00801197"/>
    <w:rsid w:val="00801439"/>
    <w:rsid w:val="008014F2"/>
    <w:rsid w:val="008015F6"/>
    <w:rsid w:val="00801A5E"/>
    <w:rsid w:val="00801F3E"/>
    <w:rsid w:val="00802BF6"/>
    <w:rsid w:val="00802CD1"/>
    <w:rsid w:val="00803694"/>
    <w:rsid w:val="00803A39"/>
    <w:rsid w:val="00803A74"/>
    <w:rsid w:val="00803D47"/>
    <w:rsid w:val="00804C47"/>
    <w:rsid w:val="00804CAA"/>
    <w:rsid w:val="00805D19"/>
    <w:rsid w:val="00806252"/>
    <w:rsid w:val="00806793"/>
    <w:rsid w:val="008074DC"/>
    <w:rsid w:val="0080794F"/>
    <w:rsid w:val="00807F4C"/>
    <w:rsid w:val="008101D7"/>
    <w:rsid w:val="00811511"/>
    <w:rsid w:val="008115CB"/>
    <w:rsid w:val="00811A7E"/>
    <w:rsid w:val="0081382F"/>
    <w:rsid w:val="008138A9"/>
    <w:rsid w:val="00814707"/>
    <w:rsid w:val="008151AE"/>
    <w:rsid w:val="00815321"/>
    <w:rsid w:val="00815375"/>
    <w:rsid w:val="00815573"/>
    <w:rsid w:val="00815881"/>
    <w:rsid w:val="008166FB"/>
    <w:rsid w:val="0081685F"/>
    <w:rsid w:val="00816E89"/>
    <w:rsid w:val="00817179"/>
    <w:rsid w:val="00817E68"/>
    <w:rsid w:val="008202A5"/>
    <w:rsid w:val="008210B2"/>
    <w:rsid w:val="00821AD3"/>
    <w:rsid w:val="00821EDF"/>
    <w:rsid w:val="00821F28"/>
    <w:rsid w:val="008221B5"/>
    <w:rsid w:val="008222C3"/>
    <w:rsid w:val="00822DD7"/>
    <w:rsid w:val="00822E79"/>
    <w:rsid w:val="00823E71"/>
    <w:rsid w:val="0082414E"/>
    <w:rsid w:val="0082541D"/>
    <w:rsid w:val="008268DF"/>
    <w:rsid w:val="00826B40"/>
    <w:rsid w:val="00826C6D"/>
    <w:rsid w:val="00826DF7"/>
    <w:rsid w:val="008271F7"/>
    <w:rsid w:val="00827271"/>
    <w:rsid w:val="008275C6"/>
    <w:rsid w:val="008279AD"/>
    <w:rsid w:val="00827CA6"/>
    <w:rsid w:val="00827D30"/>
    <w:rsid w:val="00827E54"/>
    <w:rsid w:val="00830A73"/>
    <w:rsid w:val="00831DCA"/>
    <w:rsid w:val="00832025"/>
    <w:rsid w:val="0083219D"/>
    <w:rsid w:val="00832547"/>
    <w:rsid w:val="00832890"/>
    <w:rsid w:val="008329CD"/>
    <w:rsid w:val="008340F7"/>
    <w:rsid w:val="00834BD5"/>
    <w:rsid w:val="008353CD"/>
    <w:rsid w:val="00835811"/>
    <w:rsid w:val="00835E20"/>
    <w:rsid w:val="008365DB"/>
    <w:rsid w:val="00836927"/>
    <w:rsid w:val="00837625"/>
    <w:rsid w:val="00837B40"/>
    <w:rsid w:val="00837DE0"/>
    <w:rsid w:val="0084084C"/>
    <w:rsid w:val="00840CA4"/>
    <w:rsid w:val="00841029"/>
    <w:rsid w:val="00841716"/>
    <w:rsid w:val="00841770"/>
    <w:rsid w:val="00841BD0"/>
    <w:rsid w:val="00841F43"/>
    <w:rsid w:val="0084201D"/>
    <w:rsid w:val="00842758"/>
    <w:rsid w:val="00842774"/>
    <w:rsid w:val="008429EF"/>
    <w:rsid w:val="00843A3A"/>
    <w:rsid w:val="00843B00"/>
    <w:rsid w:val="0084448C"/>
    <w:rsid w:val="00844BF4"/>
    <w:rsid w:val="00844D3D"/>
    <w:rsid w:val="00844EA1"/>
    <w:rsid w:val="00845028"/>
    <w:rsid w:val="0084571E"/>
    <w:rsid w:val="00845FC9"/>
    <w:rsid w:val="00846544"/>
    <w:rsid w:val="0084689F"/>
    <w:rsid w:val="00846AA1"/>
    <w:rsid w:val="00846E00"/>
    <w:rsid w:val="0084764A"/>
    <w:rsid w:val="00847D64"/>
    <w:rsid w:val="00850858"/>
    <w:rsid w:val="00851716"/>
    <w:rsid w:val="008517E5"/>
    <w:rsid w:val="008518DF"/>
    <w:rsid w:val="008519BA"/>
    <w:rsid w:val="00852753"/>
    <w:rsid w:val="00852F77"/>
    <w:rsid w:val="008531E1"/>
    <w:rsid w:val="008535A4"/>
    <w:rsid w:val="008538E4"/>
    <w:rsid w:val="00853D57"/>
    <w:rsid w:val="00854A05"/>
    <w:rsid w:val="00855A09"/>
    <w:rsid w:val="00855D53"/>
    <w:rsid w:val="008565CB"/>
    <w:rsid w:val="008571EB"/>
    <w:rsid w:val="00857EB3"/>
    <w:rsid w:val="00857FB2"/>
    <w:rsid w:val="00857FDE"/>
    <w:rsid w:val="0086026C"/>
    <w:rsid w:val="008603AB"/>
    <w:rsid w:val="00861626"/>
    <w:rsid w:val="00861E88"/>
    <w:rsid w:val="00861EED"/>
    <w:rsid w:val="008621FC"/>
    <w:rsid w:val="00863897"/>
    <w:rsid w:val="008656E0"/>
    <w:rsid w:val="0086582A"/>
    <w:rsid w:val="00865970"/>
    <w:rsid w:val="00865981"/>
    <w:rsid w:val="00866068"/>
    <w:rsid w:val="0086636E"/>
    <w:rsid w:val="00866B9C"/>
    <w:rsid w:val="00866BA5"/>
    <w:rsid w:val="00867817"/>
    <w:rsid w:val="00867C00"/>
    <w:rsid w:val="00870405"/>
    <w:rsid w:val="00870DA5"/>
    <w:rsid w:val="00871263"/>
    <w:rsid w:val="00871666"/>
    <w:rsid w:val="00871837"/>
    <w:rsid w:val="00871F64"/>
    <w:rsid w:val="00871FEA"/>
    <w:rsid w:val="008729B7"/>
    <w:rsid w:val="00873340"/>
    <w:rsid w:val="008733EC"/>
    <w:rsid w:val="0087348F"/>
    <w:rsid w:val="0087359A"/>
    <w:rsid w:val="00873865"/>
    <w:rsid w:val="00873B92"/>
    <w:rsid w:val="00873C0B"/>
    <w:rsid w:val="008743F2"/>
    <w:rsid w:val="00874453"/>
    <w:rsid w:val="00874795"/>
    <w:rsid w:val="00874BF9"/>
    <w:rsid w:val="00874F1C"/>
    <w:rsid w:val="008751AF"/>
    <w:rsid w:val="00875A3E"/>
    <w:rsid w:val="00875E80"/>
    <w:rsid w:val="008768DC"/>
    <w:rsid w:val="00876C68"/>
    <w:rsid w:val="00876FA9"/>
    <w:rsid w:val="008770C7"/>
    <w:rsid w:val="00877921"/>
    <w:rsid w:val="00880397"/>
    <w:rsid w:val="008810E1"/>
    <w:rsid w:val="0088147B"/>
    <w:rsid w:val="0088175D"/>
    <w:rsid w:val="0088178E"/>
    <w:rsid w:val="00881A8F"/>
    <w:rsid w:val="00881DED"/>
    <w:rsid w:val="00881FCC"/>
    <w:rsid w:val="008823D1"/>
    <w:rsid w:val="00882544"/>
    <w:rsid w:val="00882670"/>
    <w:rsid w:val="00882B1F"/>
    <w:rsid w:val="00882E12"/>
    <w:rsid w:val="00883432"/>
    <w:rsid w:val="00884158"/>
    <w:rsid w:val="008846F6"/>
    <w:rsid w:val="00884F2C"/>
    <w:rsid w:val="00884FB3"/>
    <w:rsid w:val="00885223"/>
    <w:rsid w:val="0088539D"/>
    <w:rsid w:val="00885450"/>
    <w:rsid w:val="00885478"/>
    <w:rsid w:val="008856FF"/>
    <w:rsid w:val="00885B6D"/>
    <w:rsid w:val="0088604D"/>
    <w:rsid w:val="00886480"/>
    <w:rsid w:val="008866F8"/>
    <w:rsid w:val="00886C19"/>
    <w:rsid w:val="00887127"/>
    <w:rsid w:val="00887456"/>
    <w:rsid w:val="0088751A"/>
    <w:rsid w:val="0088755E"/>
    <w:rsid w:val="00890813"/>
    <w:rsid w:val="00890D56"/>
    <w:rsid w:val="00890E7A"/>
    <w:rsid w:val="00891510"/>
    <w:rsid w:val="00891576"/>
    <w:rsid w:val="00891C69"/>
    <w:rsid w:val="0089204A"/>
    <w:rsid w:val="0089266B"/>
    <w:rsid w:val="00892955"/>
    <w:rsid w:val="00892AE2"/>
    <w:rsid w:val="00892E51"/>
    <w:rsid w:val="008939B5"/>
    <w:rsid w:val="00893A31"/>
    <w:rsid w:val="00893C4E"/>
    <w:rsid w:val="00893D23"/>
    <w:rsid w:val="00894498"/>
    <w:rsid w:val="00894674"/>
    <w:rsid w:val="00894B53"/>
    <w:rsid w:val="00894D46"/>
    <w:rsid w:val="00894DEB"/>
    <w:rsid w:val="008952F8"/>
    <w:rsid w:val="00895702"/>
    <w:rsid w:val="0089573F"/>
    <w:rsid w:val="0089593C"/>
    <w:rsid w:val="00895A29"/>
    <w:rsid w:val="00895F92"/>
    <w:rsid w:val="00896A6C"/>
    <w:rsid w:val="00896E07"/>
    <w:rsid w:val="00897140"/>
    <w:rsid w:val="0089754C"/>
    <w:rsid w:val="00897FE8"/>
    <w:rsid w:val="008A0861"/>
    <w:rsid w:val="008A0A13"/>
    <w:rsid w:val="008A0DAF"/>
    <w:rsid w:val="008A0E8D"/>
    <w:rsid w:val="008A2007"/>
    <w:rsid w:val="008A284D"/>
    <w:rsid w:val="008A2D4D"/>
    <w:rsid w:val="008A2EC7"/>
    <w:rsid w:val="008A392A"/>
    <w:rsid w:val="008A395C"/>
    <w:rsid w:val="008A3DAB"/>
    <w:rsid w:val="008A3E3C"/>
    <w:rsid w:val="008A3E42"/>
    <w:rsid w:val="008A3E4B"/>
    <w:rsid w:val="008A4300"/>
    <w:rsid w:val="008A4B60"/>
    <w:rsid w:val="008A5057"/>
    <w:rsid w:val="008A50B5"/>
    <w:rsid w:val="008A5155"/>
    <w:rsid w:val="008A7515"/>
    <w:rsid w:val="008A7A63"/>
    <w:rsid w:val="008A7AFA"/>
    <w:rsid w:val="008B0878"/>
    <w:rsid w:val="008B0A08"/>
    <w:rsid w:val="008B0ADD"/>
    <w:rsid w:val="008B187B"/>
    <w:rsid w:val="008B1961"/>
    <w:rsid w:val="008B1D93"/>
    <w:rsid w:val="008B3A2D"/>
    <w:rsid w:val="008B3A47"/>
    <w:rsid w:val="008B3FD3"/>
    <w:rsid w:val="008B433A"/>
    <w:rsid w:val="008B5685"/>
    <w:rsid w:val="008B5737"/>
    <w:rsid w:val="008B6509"/>
    <w:rsid w:val="008B661F"/>
    <w:rsid w:val="008B6DE8"/>
    <w:rsid w:val="008B6E45"/>
    <w:rsid w:val="008B6E83"/>
    <w:rsid w:val="008B7358"/>
    <w:rsid w:val="008B73B4"/>
    <w:rsid w:val="008C0180"/>
    <w:rsid w:val="008C054D"/>
    <w:rsid w:val="008C071E"/>
    <w:rsid w:val="008C0720"/>
    <w:rsid w:val="008C0901"/>
    <w:rsid w:val="008C0F21"/>
    <w:rsid w:val="008C13D0"/>
    <w:rsid w:val="008C170C"/>
    <w:rsid w:val="008C1753"/>
    <w:rsid w:val="008C21A1"/>
    <w:rsid w:val="008C233F"/>
    <w:rsid w:val="008C25F5"/>
    <w:rsid w:val="008C329B"/>
    <w:rsid w:val="008C38F5"/>
    <w:rsid w:val="008C4955"/>
    <w:rsid w:val="008C4B5B"/>
    <w:rsid w:val="008C596A"/>
    <w:rsid w:val="008C59AE"/>
    <w:rsid w:val="008C658D"/>
    <w:rsid w:val="008C6EAE"/>
    <w:rsid w:val="008C7594"/>
    <w:rsid w:val="008C7841"/>
    <w:rsid w:val="008C7CA7"/>
    <w:rsid w:val="008D0035"/>
    <w:rsid w:val="008D0C58"/>
    <w:rsid w:val="008D1361"/>
    <w:rsid w:val="008D1550"/>
    <w:rsid w:val="008D17FC"/>
    <w:rsid w:val="008D1F5D"/>
    <w:rsid w:val="008D27ED"/>
    <w:rsid w:val="008D352A"/>
    <w:rsid w:val="008D37F3"/>
    <w:rsid w:val="008D3806"/>
    <w:rsid w:val="008D4635"/>
    <w:rsid w:val="008D4EC7"/>
    <w:rsid w:val="008D51CC"/>
    <w:rsid w:val="008D521F"/>
    <w:rsid w:val="008D537C"/>
    <w:rsid w:val="008D5594"/>
    <w:rsid w:val="008D5791"/>
    <w:rsid w:val="008D5D1C"/>
    <w:rsid w:val="008D5E0E"/>
    <w:rsid w:val="008D6376"/>
    <w:rsid w:val="008D691A"/>
    <w:rsid w:val="008D6969"/>
    <w:rsid w:val="008D6D87"/>
    <w:rsid w:val="008D70E4"/>
    <w:rsid w:val="008D72B0"/>
    <w:rsid w:val="008D7691"/>
    <w:rsid w:val="008D76FF"/>
    <w:rsid w:val="008D77C8"/>
    <w:rsid w:val="008E052A"/>
    <w:rsid w:val="008E059F"/>
    <w:rsid w:val="008E05C8"/>
    <w:rsid w:val="008E0C1D"/>
    <w:rsid w:val="008E162C"/>
    <w:rsid w:val="008E1D7D"/>
    <w:rsid w:val="008E210F"/>
    <w:rsid w:val="008E25BC"/>
    <w:rsid w:val="008E2F67"/>
    <w:rsid w:val="008E3297"/>
    <w:rsid w:val="008E33E1"/>
    <w:rsid w:val="008E3481"/>
    <w:rsid w:val="008E371F"/>
    <w:rsid w:val="008E3754"/>
    <w:rsid w:val="008E3B75"/>
    <w:rsid w:val="008E3EB1"/>
    <w:rsid w:val="008E449C"/>
    <w:rsid w:val="008E4AFB"/>
    <w:rsid w:val="008E4F6A"/>
    <w:rsid w:val="008E5C2D"/>
    <w:rsid w:val="008E64D4"/>
    <w:rsid w:val="008F02CB"/>
    <w:rsid w:val="008F087C"/>
    <w:rsid w:val="008F0CE2"/>
    <w:rsid w:val="008F0F1C"/>
    <w:rsid w:val="008F1093"/>
    <w:rsid w:val="008F112D"/>
    <w:rsid w:val="008F15A4"/>
    <w:rsid w:val="008F1EAD"/>
    <w:rsid w:val="008F2028"/>
    <w:rsid w:val="008F2265"/>
    <w:rsid w:val="008F290B"/>
    <w:rsid w:val="008F2984"/>
    <w:rsid w:val="008F2C01"/>
    <w:rsid w:val="008F2E7C"/>
    <w:rsid w:val="008F2EFC"/>
    <w:rsid w:val="008F391A"/>
    <w:rsid w:val="008F3BC7"/>
    <w:rsid w:val="008F3C08"/>
    <w:rsid w:val="008F414D"/>
    <w:rsid w:val="008F4B0F"/>
    <w:rsid w:val="008F4E57"/>
    <w:rsid w:val="008F4E83"/>
    <w:rsid w:val="008F6845"/>
    <w:rsid w:val="008F68E7"/>
    <w:rsid w:val="008F7C4E"/>
    <w:rsid w:val="008F7FCC"/>
    <w:rsid w:val="0090002E"/>
    <w:rsid w:val="0090018A"/>
    <w:rsid w:val="00900846"/>
    <w:rsid w:val="00900A34"/>
    <w:rsid w:val="00902A96"/>
    <w:rsid w:val="009032B5"/>
    <w:rsid w:val="009039D4"/>
    <w:rsid w:val="0090471C"/>
    <w:rsid w:val="0090598E"/>
    <w:rsid w:val="009059F4"/>
    <w:rsid w:val="00905B74"/>
    <w:rsid w:val="00906181"/>
    <w:rsid w:val="009064D5"/>
    <w:rsid w:val="00906564"/>
    <w:rsid w:val="009065D7"/>
    <w:rsid w:val="00906730"/>
    <w:rsid w:val="00906734"/>
    <w:rsid w:val="009068E3"/>
    <w:rsid w:val="009074BB"/>
    <w:rsid w:val="00907FAE"/>
    <w:rsid w:val="00910898"/>
    <w:rsid w:val="00910B0E"/>
    <w:rsid w:val="00910C3B"/>
    <w:rsid w:val="00910CCC"/>
    <w:rsid w:val="0091121B"/>
    <w:rsid w:val="009116F7"/>
    <w:rsid w:val="009117CE"/>
    <w:rsid w:val="00911BE1"/>
    <w:rsid w:val="0091254E"/>
    <w:rsid w:val="0091259E"/>
    <w:rsid w:val="00912AC3"/>
    <w:rsid w:val="00912BF0"/>
    <w:rsid w:val="00912C7E"/>
    <w:rsid w:val="0091352A"/>
    <w:rsid w:val="009146AE"/>
    <w:rsid w:val="009149AA"/>
    <w:rsid w:val="00914C7E"/>
    <w:rsid w:val="00914D26"/>
    <w:rsid w:val="0091555A"/>
    <w:rsid w:val="009157A9"/>
    <w:rsid w:val="00915B63"/>
    <w:rsid w:val="00915C8D"/>
    <w:rsid w:val="009162C0"/>
    <w:rsid w:val="00916BE8"/>
    <w:rsid w:val="0091787A"/>
    <w:rsid w:val="00917A6F"/>
    <w:rsid w:val="00920239"/>
    <w:rsid w:val="00920502"/>
    <w:rsid w:val="00920968"/>
    <w:rsid w:val="00920E22"/>
    <w:rsid w:val="009213E3"/>
    <w:rsid w:val="009215BC"/>
    <w:rsid w:val="00921ADB"/>
    <w:rsid w:val="00921EB8"/>
    <w:rsid w:val="0092234F"/>
    <w:rsid w:val="00923830"/>
    <w:rsid w:val="009240EE"/>
    <w:rsid w:val="00924850"/>
    <w:rsid w:val="009256E2"/>
    <w:rsid w:val="00925CA6"/>
    <w:rsid w:val="00925DCF"/>
    <w:rsid w:val="009266E9"/>
    <w:rsid w:val="00926818"/>
    <w:rsid w:val="00926BD3"/>
    <w:rsid w:val="00927379"/>
    <w:rsid w:val="00927715"/>
    <w:rsid w:val="009301DD"/>
    <w:rsid w:val="00930213"/>
    <w:rsid w:val="00930907"/>
    <w:rsid w:val="00930C43"/>
    <w:rsid w:val="00931316"/>
    <w:rsid w:val="00931A64"/>
    <w:rsid w:val="00931D40"/>
    <w:rsid w:val="009333AB"/>
    <w:rsid w:val="009337B6"/>
    <w:rsid w:val="009337F7"/>
    <w:rsid w:val="009343AD"/>
    <w:rsid w:val="00934642"/>
    <w:rsid w:val="009347B3"/>
    <w:rsid w:val="0093656D"/>
    <w:rsid w:val="0093755D"/>
    <w:rsid w:val="009379D1"/>
    <w:rsid w:val="00937FD9"/>
    <w:rsid w:val="00940017"/>
    <w:rsid w:val="009402CC"/>
    <w:rsid w:val="0094056B"/>
    <w:rsid w:val="00940C79"/>
    <w:rsid w:val="00941C64"/>
    <w:rsid w:val="00941D7C"/>
    <w:rsid w:val="00942050"/>
    <w:rsid w:val="00942CCC"/>
    <w:rsid w:val="00943098"/>
    <w:rsid w:val="009430E3"/>
    <w:rsid w:val="00943299"/>
    <w:rsid w:val="009432D7"/>
    <w:rsid w:val="0094353A"/>
    <w:rsid w:val="00943700"/>
    <w:rsid w:val="00944947"/>
    <w:rsid w:val="00944D55"/>
    <w:rsid w:val="0094589F"/>
    <w:rsid w:val="009458D8"/>
    <w:rsid w:val="00945EF2"/>
    <w:rsid w:val="009461E9"/>
    <w:rsid w:val="0094664F"/>
    <w:rsid w:val="00946DAE"/>
    <w:rsid w:val="00946E02"/>
    <w:rsid w:val="00946E10"/>
    <w:rsid w:val="00947324"/>
    <w:rsid w:val="009501B4"/>
    <w:rsid w:val="00950557"/>
    <w:rsid w:val="009507EA"/>
    <w:rsid w:val="00950824"/>
    <w:rsid w:val="00950922"/>
    <w:rsid w:val="00950B25"/>
    <w:rsid w:val="00950C69"/>
    <w:rsid w:val="0095212E"/>
    <w:rsid w:val="00952CDA"/>
    <w:rsid w:val="00952DE0"/>
    <w:rsid w:val="00952FCE"/>
    <w:rsid w:val="0095370F"/>
    <w:rsid w:val="00953FAB"/>
    <w:rsid w:val="00954192"/>
    <w:rsid w:val="0095440B"/>
    <w:rsid w:val="00954BB5"/>
    <w:rsid w:val="00954D22"/>
    <w:rsid w:val="00954E23"/>
    <w:rsid w:val="00955402"/>
    <w:rsid w:val="009556EB"/>
    <w:rsid w:val="00955EC3"/>
    <w:rsid w:val="00956CA0"/>
    <w:rsid w:val="009576F2"/>
    <w:rsid w:val="009602D7"/>
    <w:rsid w:val="009602DB"/>
    <w:rsid w:val="0096030F"/>
    <w:rsid w:val="00960502"/>
    <w:rsid w:val="00961170"/>
    <w:rsid w:val="009612BF"/>
    <w:rsid w:val="00961ABF"/>
    <w:rsid w:val="00961C02"/>
    <w:rsid w:val="00961D01"/>
    <w:rsid w:val="00961D9F"/>
    <w:rsid w:val="00962A69"/>
    <w:rsid w:val="00962A7E"/>
    <w:rsid w:val="00962D98"/>
    <w:rsid w:val="009637E2"/>
    <w:rsid w:val="00964598"/>
    <w:rsid w:val="00964B29"/>
    <w:rsid w:val="009650E5"/>
    <w:rsid w:val="00965B2D"/>
    <w:rsid w:val="00965D2A"/>
    <w:rsid w:val="0096612B"/>
    <w:rsid w:val="009664E6"/>
    <w:rsid w:val="00966A2A"/>
    <w:rsid w:val="00966B49"/>
    <w:rsid w:val="00967481"/>
    <w:rsid w:val="00967916"/>
    <w:rsid w:val="00967C15"/>
    <w:rsid w:val="00971141"/>
    <w:rsid w:val="00971390"/>
    <w:rsid w:val="0097182C"/>
    <w:rsid w:val="0097193D"/>
    <w:rsid w:val="00971C2F"/>
    <w:rsid w:val="00971F94"/>
    <w:rsid w:val="0097233C"/>
    <w:rsid w:val="0097312A"/>
    <w:rsid w:val="0097342C"/>
    <w:rsid w:val="009736AE"/>
    <w:rsid w:val="00973A95"/>
    <w:rsid w:val="00974224"/>
    <w:rsid w:val="0097434B"/>
    <w:rsid w:val="00974CF5"/>
    <w:rsid w:val="009752F5"/>
    <w:rsid w:val="009753A0"/>
    <w:rsid w:val="00975A80"/>
    <w:rsid w:val="0097615B"/>
    <w:rsid w:val="00976A89"/>
    <w:rsid w:val="00976F3C"/>
    <w:rsid w:val="00977436"/>
    <w:rsid w:val="009777BC"/>
    <w:rsid w:val="00977D16"/>
    <w:rsid w:val="00977DC6"/>
    <w:rsid w:val="00980495"/>
    <w:rsid w:val="0098153D"/>
    <w:rsid w:val="00981EAD"/>
    <w:rsid w:val="00982190"/>
    <w:rsid w:val="00982747"/>
    <w:rsid w:val="0098314E"/>
    <w:rsid w:val="009831CF"/>
    <w:rsid w:val="0098356C"/>
    <w:rsid w:val="00984107"/>
    <w:rsid w:val="009841F2"/>
    <w:rsid w:val="009841FE"/>
    <w:rsid w:val="009857B2"/>
    <w:rsid w:val="00985A3E"/>
    <w:rsid w:val="00985FA2"/>
    <w:rsid w:val="00986315"/>
    <w:rsid w:val="009865A6"/>
    <w:rsid w:val="009866C6"/>
    <w:rsid w:val="00987107"/>
    <w:rsid w:val="00987208"/>
    <w:rsid w:val="00987370"/>
    <w:rsid w:val="009878AE"/>
    <w:rsid w:val="00987E15"/>
    <w:rsid w:val="00990199"/>
    <w:rsid w:val="00990CB2"/>
    <w:rsid w:val="0099102C"/>
    <w:rsid w:val="009912EF"/>
    <w:rsid w:val="00991410"/>
    <w:rsid w:val="00991574"/>
    <w:rsid w:val="0099178D"/>
    <w:rsid w:val="009918F0"/>
    <w:rsid w:val="00991E16"/>
    <w:rsid w:val="00991FD6"/>
    <w:rsid w:val="009921CB"/>
    <w:rsid w:val="009924E4"/>
    <w:rsid w:val="009929C6"/>
    <w:rsid w:val="00992ABC"/>
    <w:rsid w:val="00992C6D"/>
    <w:rsid w:val="00992C83"/>
    <w:rsid w:val="00993045"/>
    <w:rsid w:val="00993C4E"/>
    <w:rsid w:val="00993CA6"/>
    <w:rsid w:val="009953DB"/>
    <w:rsid w:val="00995856"/>
    <w:rsid w:val="0099620B"/>
    <w:rsid w:val="0099646D"/>
    <w:rsid w:val="009966D1"/>
    <w:rsid w:val="00996864"/>
    <w:rsid w:val="009969E7"/>
    <w:rsid w:val="00997362"/>
    <w:rsid w:val="00997421"/>
    <w:rsid w:val="00997606"/>
    <w:rsid w:val="00997647"/>
    <w:rsid w:val="009A0327"/>
    <w:rsid w:val="009A04E1"/>
    <w:rsid w:val="009A0B4A"/>
    <w:rsid w:val="009A0E69"/>
    <w:rsid w:val="009A10D2"/>
    <w:rsid w:val="009A1279"/>
    <w:rsid w:val="009A18B9"/>
    <w:rsid w:val="009A1A63"/>
    <w:rsid w:val="009A2072"/>
    <w:rsid w:val="009A235D"/>
    <w:rsid w:val="009A2856"/>
    <w:rsid w:val="009A2964"/>
    <w:rsid w:val="009A2F24"/>
    <w:rsid w:val="009A2F8E"/>
    <w:rsid w:val="009A2F93"/>
    <w:rsid w:val="009A309A"/>
    <w:rsid w:val="009A31BA"/>
    <w:rsid w:val="009A3414"/>
    <w:rsid w:val="009A39CC"/>
    <w:rsid w:val="009A3A8B"/>
    <w:rsid w:val="009A5956"/>
    <w:rsid w:val="009A61F1"/>
    <w:rsid w:val="009A62DF"/>
    <w:rsid w:val="009A652B"/>
    <w:rsid w:val="009A6531"/>
    <w:rsid w:val="009A685E"/>
    <w:rsid w:val="009A6B6B"/>
    <w:rsid w:val="009A7138"/>
    <w:rsid w:val="009A713F"/>
    <w:rsid w:val="009A7186"/>
    <w:rsid w:val="009A7605"/>
    <w:rsid w:val="009A7D82"/>
    <w:rsid w:val="009A7E08"/>
    <w:rsid w:val="009B00B2"/>
    <w:rsid w:val="009B0535"/>
    <w:rsid w:val="009B12C5"/>
    <w:rsid w:val="009B13AF"/>
    <w:rsid w:val="009B1561"/>
    <w:rsid w:val="009B1933"/>
    <w:rsid w:val="009B1FEA"/>
    <w:rsid w:val="009B2AA9"/>
    <w:rsid w:val="009B2CD1"/>
    <w:rsid w:val="009B2D26"/>
    <w:rsid w:val="009B2FF2"/>
    <w:rsid w:val="009B3AC4"/>
    <w:rsid w:val="009B3D7A"/>
    <w:rsid w:val="009B3F27"/>
    <w:rsid w:val="009B40CB"/>
    <w:rsid w:val="009B5393"/>
    <w:rsid w:val="009B53D1"/>
    <w:rsid w:val="009B5E8A"/>
    <w:rsid w:val="009B5EFC"/>
    <w:rsid w:val="009B628D"/>
    <w:rsid w:val="009B6974"/>
    <w:rsid w:val="009B6DFF"/>
    <w:rsid w:val="009B7166"/>
    <w:rsid w:val="009B74B6"/>
    <w:rsid w:val="009B7647"/>
    <w:rsid w:val="009B7874"/>
    <w:rsid w:val="009B78BF"/>
    <w:rsid w:val="009B7B9C"/>
    <w:rsid w:val="009C0F1A"/>
    <w:rsid w:val="009C17AB"/>
    <w:rsid w:val="009C2605"/>
    <w:rsid w:val="009C2697"/>
    <w:rsid w:val="009C2DB2"/>
    <w:rsid w:val="009C2E67"/>
    <w:rsid w:val="009C2F4B"/>
    <w:rsid w:val="009C3599"/>
    <w:rsid w:val="009C37AA"/>
    <w:rsid w:val="009C3A49"/>
    <w:rsid w:val="009C3A4F"/>
    <w:rsid w:val="009C4279"/>
    <w:rsid w:val="009C4BE5"/>
    <w:rsid w:val="009C55D8"/>
    <w:rsid w:val="009C6322"/>
    <w:rsid w:val="009C68FA"/>
    <w:rsid w:val="009C69A7"/>
    <w:rsid w:val="009C6B06"/>
    <w:rsid w:val="009C6B98"/>
    <w:rsid w:val="009C6BB7"/>
    <w:rsid w:val="009C6EC8"/>
    <w:rsid w:val="009D07D9"/>
    <w:rsid w:val="009D0B6D"/>
    <w:rsid w:val="009D1027"/>
    <w:rsid w:val="009D12CA"/>
    <w:rsid w:val="009D29AF"/>
    <w:rsid w:val="009D2A27"/>
    <w:rsid w:val="009D2DED"/>
    <w:rsid w:val="009D3B9F"/>
    <w:rsid w:val="009D3F19"/>
    <w:rsid w:val="009D4073"/>
    <w:rsid w:val="009D435C"/>
    <w:rsid w:val="009D4B98"/>
    <w:rsid w:val="009D4D6B"/>
    <w:rsid w:val="009D54F8"/>
    <w:rsid w:val="009D5834"/>
    <w:rsid w:val="009D5BFA"/>
    <w:rsid w:val="009D5F4C"/>
    <w:rsid w:val="009D5FA5"/>
    <w:rsid w:val="009D62B8"/>
    <w:rsid w:val="009D6784"/>
    <w:rsid w:val="009D7171"/>
    <w:rsid w:val="009D77A0"/>
    <w:rsid w:val="009E0539"/>
    <w:rsid w:val="009E067A"/>
    <w:rsid w:val="009E1066"/>
    <w:rsid w:val="009E13AC"/>
    <w:rsid w:val="009E1AC6"/>
    <w:rsid w:val="009E229E"/>
    <w:rsid w:val="009E2C9E"/>
    <w:rsid w:val="009E4BD3"/>
    <w:rsid w:val="009E4E3A"/>
    <w:rsid w:val="009E4FCA"/>
    <w:rsid w:val="009E5085"/>
    <w:rsid w:val="009E65EA"/>
    <w:rsid w:val="009E7A74"/>
    <w:rsid w:val="009E7B0B"/>
    <w:rsid w:val="009E7E39"/>
    <w:rsid w:val="009F01BF"/>
    <w:rsid w:val="009F09B4"/>
    <w:rsid w:val="009F0ADD"/>
    <w:rsid w:val="009F1450"/>
    <w:rsid w:val="009F14DB"/>
    <w:rsid w:val="009F18B8"/>
    <w:rsid w:val="009F1B9B"/>
    <w:rsid w:val="009F28DA"/>
    <w:rsid w:val="009F2EF7"/>
    <w:rsid w:val="009F309F"/>
    <w:rsid w:val="009F32BA"/>
    <w:rsid w:val="009F32EA"/>
    <w:rsid w:val="009F382C"/>
    <w:rsid w:val="009F3832"/>
    <w:rsid w:val="009F3877"/>
    <w:rsid w:val="009F43D7"/>
    <w:rsid w:val="009F45EA"/>
    <w:rsid w:val="009F4614"/>
    <w:rsid w:val="009F4BDC"/>
    <w:rsid w:val="009F530D"/>
    <w:rsid w:val="009F55F5"/>
    <w:rsid w:val="009F57A5"/>
    <w:rsid w:val="009F5828"/>
    <w:rsid w:val="009F6520"/>
    <w:rsid w:val="009F6606"/>
    <w:rsid w:val="009F673A"/>
    <w:rsid w:val="009F6A73"/>
    <w:rsid w:val="009F79C6"/>
    <w:rsid w:val="009F7BA8"/>
    <w:rsid w:val="009F7E9D"/>
    <w:rsid w:val="00A00C2C"/>
    <w:rsid w:val="00A00DDE"/>
    <w:rsid w:val="00A00FED"/>
    <w:rsid w:val="00A01720"/>
    <w:rsid w:val="00A01D0D"/>
    <w:rsid w:val="00A01D0E"/>
    <w:rsid w:val="00A01E7B"/>
    <w:rsid w:val="00A0205C"/>
    <w:rsid w:val="00A02964"/>
    <w:rsid w:val="00A02CDF"/>
    <w:rsid w:val="00A02E84"/>
    <w:rsid w:val="00A03208"/>
    <w:rsid w:val="00A03247"/>
    <w:rsid w:val="00A0332E"/>
    <w:rsid w:val="00A03555"/>
    <w:rsid w:val="00A03855"/>
    <w:rsid w:val="00A03C21"/>
    <w:rsid w:val="00A0446F"/>
    <w:rsid w:val="00A049D7"/>
    <w:rsid w:val="00A04A25"/>
    <w:rsid w:val="00A04BA1"/>
    <w:rsid w:val="00A04DDE"/>
    <w:rsid w:val="00A05201"/>
    <w:rsid w:val="00A05370"/>
    <w:rsid w:val="00A0546E"/>
    <w:rsid w:val="00A054B2"/>
    <w:rsid w:val="00A056E7"/>
    <w:rsid w:val="00A06130"/>
    <w:rsid w:val="00A06428"/>
    <w:rsid w:val="00A067A4"/>
    <w:rsid w:val="00A06D2F"/>
    <w:rsid w:val="00A07B4F"/>
    <w:rsid w:val="00A07DB3"/>
    <w:rsid w:val="00A07EC3"/>
    <w:rsid w:val="00A10255"/>
    <w:rsid w:val="00A10346"/>
    <w:rsid w:val="00A103F5"/>
    <w:rsid w:val="00A1088B"/>
    <w:rsid w:val="00A11C35"/>
    <w:rsid w:val="00A11D0E"/>
    <w:rsid w:val="00A11E6D"/>
    <w:rsid w:val="00A127E9"/>
    <w:rsid w:val="00A129A8"/>
    <w:rsid w:val="00A12E59"/>
    <w:rsid w:val="00A13156"/>
    <w:rsid w:val="00A13496"/>
    <w:rsid w:val="00A134D9"/>
    <w:rsid w:val="00A13521"/>
    <w:rsid w:val="00A13968"/>
    <w:rsid w:val="00A13F69"/>
    <w:rsid w:val="00A1408F"/>
    <w:rsid w:val="00A14503"/>
    <w:rsid w:val="00A14E7C"/>
    <w:rsid w:val="00A14EDC"/>
    <w:rsid w:val="00A1504B"/>
    <w:rsid w:val="00A15287"/>
    <w:rsid w:val="00A15D28"/>
    <w:rsid w:val="00A171C3"/>
    <w:rsid w:val="00A1738B"/>
    <w:rsid w:val="00A17495"/>
    <w:rsid w:val="00A17CBF"/>
    <w:rsid w:val="00A17EB9"/>
    <w:rsid w:val="00A17F6B"/>
    <w:rsid w:val="00A206BA"/>
    <w:rsid w:val="00A20771"/>
    <w:rsid w:val="00A208D8"/>
    <w:rsid w:val="00A20C9E"/>
    <w:rsid w:val="00A20F2E"/>
    <w:rsid w:val="00A227A9"/>
    <w:rsid w:val="00A23458"/>
    <w:rsid w:val="00A23613"/>
    <w:rsid w:val="00A24011"/>
    <w:rsid w:val="00A243F9"/>
    <w:rsid w:val="00A2470A"/>
    <w:rsid w:val="00A247B3"/>
    <w:rsid w:val="00A2492C"/>
    <w:rsid w:val="00A24DE2"/>
    <w:rsid w:val="00A259CF"/>
    <w:rsid w:val="00A25B09"/>
    <w:rsid w:val="00A25FFB"/>
    <w:rsid w:val="00A26330"/>
    <w:rsid w:val="00A263A1"/>
    <w:rsid w:val="00A2671E"/>
    <w:rsid w:val="00A26C93"/>
    <w:rsid w:val="00A30591"/>
    <w:rsid w:val="00A309AA"/>
    <w:rsid w:val="00A30F30"/>
    <w:rsid w:val="00A30F42"/>
    <w:rsid w:val="00A3105B"/>
    <w:rsid w:val="00A32073"/>
    <w:rsid w:val="00A322D5"/>
    <w:rsid w:val="00A32F65"/>
    <w:rsid w:val="00A33847"/>
    <w:rsid w:val="00A33AFB"/>
    <w:rsid w:val="00A33D90"/>
    <w:rsid w:val="00A351EA"/>
    <w:rsid w:val="00A35277"/>
    <w:rsid w:val="00A35773"/>
    <w:rsid w:val="00A36055"/>
    <w:rsid w:val="00A36BB3"/>
    <w:rsid w:val="00A37D3F"/>
    <w:rsid w:val="00A37DF2"/>
    <w:rsid w:val="00A4000E"/>
    <w:rsid w:val="00A40902"/>
    <w:rsid w:val="00A40ADD"/>
    <w:rsid w:val="00A40CDE"/>
    <w:rsid w:val="00A4110D"/>
    <w:rsid w:val="00A41634"/>
    <w:rsid w:val="00A4197B"/>
    <w:rsid w:val="00A41FD2"/>
    <w:rsid w:val="00A42729"/>
    <w:rsid w:val="00A427A0"/>
    <w:rsid w:val="00A428A9"/>
    <w:rsid w:val="00A42B5D"/>
    <w:rsid w:val="00A42F71"/>
    <w:rsid w:val="00A4303F"/>
    <w:rsid w:val="00A433BF"/>
    <w:rsid w:val="00A434FA"/>
    <w:rsid w:val="00A4354C"/>
    <w:rsid w:val="00A4402A"/>
    <w:rsid w:val="00A44264"/>
    <w:rsid w:val="00A44672"/>
    <w:rsid w:val="00A45313"/>
    <w:rsid w:val="00A45B71"/>
    <w:rsid w:val="00A4709F"/>
    <w:rsid w:val="00A47465"/>
    <w:rsid w:val="00A4771E"/>
    <w:rsid w:val="00A477CE"/>
    <w:rsid w:val="00A47BFE"/>
    <w:rsid w:val="00A47C19"/>
    <w:rsid w:val="00A50570"/>
    <w:rsid w:val="00A505E2"/>
    <w:rsid w:val="00A50CD7"/>
    <w:rsid w:val="00A5112A"/>
    <w:rsid w:val="00A5125C"/>
    <w:rsid w:val="00A51ECD"/>
    <w:rsid w:val="00A52578"/>
    <w:rsid w:val="00A52CA1"/>
    <w:rsid w:val="00A52EF5"/>
    <w:rsid w:val="00A53473"/>
    <w:rsid w:val="00A53AA6"/>
    <w:rsid w:val="00A53ECA"/>
    <w:rsid w:val="00A542C8"/>
    <w:rsid w:val="00A547F7"/>
    <w:rsid w:val="00A54AE7"/>
    <w:rsid w:val="00A54BB7"/>
    <w:rsid w:val="00A54EEF"/>
    <w:rsid w:val="00A55249"/>
    <w:rsid w:val="00A554BD"/>
    <w:rsid w:val="00A55500"/>
    <w:rsid w:val="00A55752"/>
    <w:rsid w:val="00A56181"/>
    <w:rsid w:val="00A563DB"/>
    <w:rsid w:val="00A568D6"/>
    <w:rsid w:val="00A56F9A"/>
    <w:rsid w:val="00A57481"/>
    <w:rsid w:val="00A6073D"/>
    <w:rsid w:val="00A60DBB"/>
    <w:rsid w:val="00A61017"/>
    <w:rsid w:val="00A61458"/>
    <w:rsid w:val="00A616D9"/>
    <w:rsid w:val="00A61C4F"/>
    <w:rsid w:val="00A6215D"/>
    <w:rsid w:val="00A628BB"/>
    <w:rsid w:val="00A63001"/>
    <w:rsid w:val="00A63279"/>
    <w:rsid w:val="00A63613"/>
    <w:rsid w:val="00A643E0"/>
    <w:rsid w:val="00A64497"/>
    <w:rsid w:val="00A6518F"/>
    <w:rsid w:val="00A65660"/>
    <w:rsid w:val="00A65994"/>
    <w:rsid w:val="00A65CEB"/>
    <w:rsid w:val="00A65D59"/>
    <w:rsid w:val="00A666E9"/>
    <w:rsid w:val="00A668E2"/>
    <w:rsid w:val="00A67036"/>
    <w:rsid w:val="00A67A75"/>
    <w:rsid w:val="00A67C75"/>
    <w:rsid w:val="00A67D1C"/>
    <w:rsid w:val="00A67F18"/>
    <w:rsid w:val="00A706B5"/>
    <w:rsid w:val="00A70ABC"/>
    <w:rsid w:val="00A7167D"/>
    <w:rsid w:val="00A71AC0"/>
    <w:rsid w:val="00A72098"/>
    <w:rsid w:val="00A721FB"/>
    <w:rsid w:val="00A726D0"/>
    <w:rsid w:val="00A72C9C"/>
    <w:rsid w:val="00A72D32"/>
    <w:rsid w:val="00A73097"/>
    <w:rsid w:val="00A7309D"/>
    <w:rsid w:val="00A73759"/>
    <w:rsid w:val="00A73DF6"/>
    <w:rsid w:val="00A73F90"/>
    <w:rsid w:val="00A7432A"/>
    <w:rsid w:val="00A7488D"/>
    <w:rsid w:val="00A74BB3"/>
    <w:rsid w:val="00A751ED"/>
    <w:rsid w:val="00A75A93"/>
    <w:rsid w:val="00A765D2"/>
    <w:rsid w:val="00A76B6D"/>
    <w:rsid w:val="00A76D1D"/>
    <w:rsid w:val="00A77010"/>
    <w:rsid w:val="00A770A2"/>
    <w:rsid w:val="00A77138"/>
    <w:rsid w:val="00A776B8"/>
    <w:rsid w:val="00A80A00"/>
    <w:rsid w:val="00A81051"/>
    <w:rsid w:val="00A81252"/>
    <w:rsid w:val="00A8133C"/>
    <w:rsid w:val="00A81F21"/>
    <w:rsid w:val="00A8257C"/>
    <w:rsid w:val="00A8293E"/>
    <w:rsid w:val="00A8293F"/>
    <w:rsid w:val="00A829CA"/>
    <w:rsid w:val="00A83016"/>
    <w:rsid w:val="00A83116"/>
    <w:rsid w:val="00A8312A"/>
    <w:rsid w:val="00A83514"/>
    <w:rsid w:val="00A84371"/>
    <w:rsid w:val="00A84673"/>
    <w:rsid w:val="00A8498A"/>
    <w:rsid w:val="00A853BB"/>
    <w:rsid w:val="00A859E6"/>
    <w:rsid w:val="00A863D9"/>
    <w:rsid w:val="00A86BAF"/>
    <w:rsid w:val="00A86D96"/>
    <w:rsid w:val="00A873F1"/>
    <w:rsid w:val="00A904C9"/>
    <w:rsid w:val="00A908C8"/>
    <w:rsid w:val="00A90959"/>
    <w:rsid w:val="00A910F8"/>
    <w:rsid w:val="00A919CC"/>
    <w:rsid w:val="00A91C4E"/>
    <w:rsid w:val="00A92371"/>
    <w:rsid w:val="00A92F14"/>
    <w:rsid w:val="00A93397"/>
    <w:rsid w:val="00A943BE"/>
    <w:rsid w:val="00A94E81"/>
    <w:rsid w:val="00A94F0D"/>
    <w:rsid w:val="00A950A3"/>
    <w:rsid w:val="00A951EE"/>
    <w:rsid w:val="00A95262"/>
    <w:rsid w:val="00A957FD"/>
    <w:rsid w:val="00A961A2"/>
    <w:rsid w:val="00A96855"/>
    <w:rsid w:val="00A96C4A"/>
    <w:rsid w:val="00A96FD1"/>
    <w:rsid w:val="00A97272"/>
    <w:rsid w:val="00A975C8"/>
    <w:rsid w:val="00A975E0"/>
    <w:rsid w:val="00A97B61"/>
    <w:rsid w:val="00A97C3B"/>
    <w:rsid w:val="00A97E6F"/>
    <w:rsid w:val="00AA092A"/>
    <w:rsid w:val="00AA0A8D"/>
    <w:rsid w:val="00AA0BC6"/>
    <w:rsid w:val="00AA1213"/>
    <w:rsid w:val="00AA1582"/>
    <w:rsid w:val="00AA1602"/>
    <w:rsid w:val="00AA181F"/>
    <w:rsid w:val="00AA18D3"/>
    <w:rsid w:val="00AA1A69"/>
    <w:rsid w:val="00AA2112"/>
    <w:rsid w:val="00AA2E51"/>
    <w:rsid w:val="00AA2E7F"/>
    <w:rsid w:val="00AA50C1"/>
    <w:rsid w:val="00AA5406"/>
    <w:rsid w:val="00AA5817"/>
    <w:rsid w:val="00AA592E"/>
    <w:rsid w:val="00AA678F"/>
    <w:rsid w:val="00AA6D59"/>
    <w:rsid w:val="00AA71C4"/>
    <w:rsid w:val="00AA7704"/>
    <w:rsid w:val="00AA7D90"/>
    <w:rsid w:val="00AA7EA0"/>
    <w:rsid w:val="00AB018E"/>
    <w:rsid w:val="00AB06E0"/>
    <w:rsid w:val="00AB0F8A"/>
    <w:rsid w:val="00AB182C"/>
    <w:rsid w:val="00AB1A42"/>
    <w:rsid w:val="00AB1CC6"/>
    <w:rsid w:val="00AB22D2"/>
    <w:rsid w:val="00AB287C"/>
    <w:rsid w:val="00AB2E83"/>
    <w:rsid w:val="00AB39A9"/>
    <w:rsid w:val="00AB3F54"/>
    <w:rsid w:val="00AB3FA1"/>
    <w:rsid w:val="00AB4016"/>
    <w:rsid w:val="00AB46FA"/>
    <w:rsid w:val="00AB528F"/>
    <w:rsid w:val="00AB52F8"/>
    <w:rsid w:val="00AB54F0"/>
    <w:rsid w:val="00AB5A5D"/>
    <w:rsid w:val="00AB5C45"/>
    <w:rsid w:val="00AB6803"/>
    <w:rsid w:val="00AB69F8"/>
    <w:rsid w:val="00AB6BB4"/>
    <w:rsid w:val="00AB6F32"/>
    <w:rsid w:val="00AB70C4"/>
    <w:rsid w:val="00AB7131"/>
    <w:rsid w:val="00AB73ED"/>
    <w:rsid w:val="00AB7871"/>
    <w:rsid w:val="00AC075E"/>
    <w:rsid w:val="00AC0E45"/>
    <w:rsid w:val="00AC0F9B"/>
    <w:rsid w:val="00AC1047"/>
    <w:rsid w:val="00AC1067"/>
    <w:rsid w:val="00AC1624"/>
    <w:rsid w:val="00AC1C7C"/>
    <w:rsid w:val="00AC1E91"/>
    <w:rsid w:val="00AC1EAA"/>
    <w:rsid w:val="00AC2F48"/>
    <w:rsid w:val="00AC30B0"/>
    <w:rsid w:val="00AC37B7"/>
    <w:rsid w:val="00AC3BE0"/>
    <w:rsid w:val="00AC45B1"/>
    <w:rsid w:val="00AC4AEF"/>
    <w:rsid w:val="00AC53BC"/>
    <w:rsid w:val="00AC6049"/>
    <w:rsid w:val="00AC615D"/>
    <w:rsid w:val="00AC6188"/>
    <w:rsid w:val="00AC618A"/>
    <w:rsid w:val="00AC66E1"/>
    <w:rsid w:val="00AC72FD"/>
    <w:rsid w:val="00AC79FF"/>
    <w:rsid w:val="00AC7B31"/>
    <w:rsid w:val="00AC7F73"/>
    <w:rsid w:val="00AC7FCE"/>
    <w:rsid w:val="00AD0026"/>
    <w:rsid w:val="00AD0504"/>
    <w:rsid w:val="00AD0F2C"/>
    <w:rsid w:val="00AD15F1"/>
    <w:rsid w:val="00AD1E19"/>
    <w:rsid w:val="00AD1E57"/>
    <w:rsid w:val="00AD2378"/>
    <w:rsid w:val="00AD2D6C"/>
    <w:rsid w:val="00AD3D5B"/>
    <w:rsid w:val="00AD3FA6"/>
    <w:rsid w:val="00AD4151"/>
    <w:rsid w:val="00AD466F"/>
    <w:rsid w:val="00AD4843"/>
    <w:rsid w:val="00AD5434"/>
    <w:rsid w:val="00AD5A4B"/>
    <w:rsid w:val="00AD5B83"/>
    <w:rsid w:val="00AD5DC4"/>
    <w:rsid w:val="00AD6593"/>
    <w:rsid w:val="00AD6ACF"/>
    <w:rsid w:val="00AD6DFB"/>
    <w:rsid w:val="00AD7E27"/>
    <w:rsid w:val="00AD7EAE"/>
    <w:rsid w:val="00AE01BB"/>
    <w:rsid w:val="00AE02A0"/>
    <w:rsid w:val="00AE0C74"/>
    <w:rsid w:val="00AE14A6"/>
    <w:rsid w:val="00AE1569"/>
    <w:rsid w:val="00AE16ED"/>
    <w:rsid w:val="00AE22E9"/>
    <w:rsid w:val="00AE2532"/>
    <w:rsid w:val="00AE25B8"/>
    <w:rsid w:val="00AE3131"/>
    <w:rsid w:val="00AE31DF"/>
    <w:rsid w:val="00AE3FA0"/>
    <w:rsid w:val="00AE4146"/>
    <w:rsid w:val="00AE462E"/>
    <w:rsid w:val="00AE4F7D"/>
    <w:rsid w:val="00AE5BA9"/>
    <w:rsid w:val="00AE6988"/>
    <w:rsid w:val="00AE6DC6"/>
    <w:rsid w:val="00AE7BE9"/>
    <w:rsid w:val="00AE7CA8"/>
    <w:rsid w:val="00AF05AA"/>
    <w:rsid w:val="00AF0C84"/>
    <w:rsid w:val="00AF0E6C"/>
    <w:rsid w:val="00AF1B6F"/>
    <w:rsid w:val="00AF1CC8"/>
    <w:rsid w:val="00AF2669"/>
    <w:rsid w:val="00AF2D33"/>
    <w:rsid w:val="00AF2DA5"/>
    <w:rsid w:val="00AF2F6D"/>
    <w:rsid w:val="00AF31E8"/>
    <w:rsid w:val="00AF3379"/>
    <w:rsid w:val="00AF3F79"/>
    <w:rsid w:val="00AF4134"/>
    <w:rsid w:val="00AF45CD"/>
    <w:rsid w:val="00AF498E"/>
    <w:rsid w:val="00AF547E"/>
    <w:rsid w:val="00AF5AC7"/>
    <w:rsid w:val="00AF63CA"/>
    <w:rsid w:val="00AF672C"/>
    <w:rsid w:val="00AF6788"/>
    <w:rsid w:val="00AF684B"/>
    <w:rsid w:val="00AF6BDD"/>
    <w:rsid w:val="00AF7378"/>
    <w:rsid w:val="00AF743F"/>
    <w:rsid w:val="00AF7827"/>
    <w:rsid w:val="00AF78DF"/>
    <w:rsid w:val="00AF7A79"/>
    <w:rsid w:val="00AF7ED4"/>
    <w:rsid w:val="00B01090"/>
    <w:rsid w:val="00B013FE"/>
    <w:rsid w:val="00B01646"/>
    <w:rsid w:val="00B01E74"/>
    <w:rsid w:val="00B022F9"/>
    <w:rsid w:val="00B02BC0"/>
    <w:rsid w:val="00B02F05"/>
    <w:rsid w:val="00B0333C"/>
    <w:rsid w:val="00B037D7"/>
    <w:rsid w:val="00B0422F"/>
    <w:rsid w:val="00B04643"/>
    <w:rsid w:val="00B049EA"/>
    <w:rsid w:val="00B04D4A"/>
    <w:rsid w:val="00B04FE4"/>
    <w:rsid w:val="00B056B9"/>
    <w:rsid w:val="00B06172"/>
    <w:rsid w:val="00B062D2"/>
    <w:rsid w:val="00B06A85"/>
    <w:rsid w:val="00B0741F"/>
    <w:rsid w:val="00B10044"/>
    <w:rsid w:val="00B1022A"/>
    <w:rsid w:val="00B10365"/>
    <w:rsid w:val="00B10634"/>
    <w:rsid w:val="00B107AA"/>
    <w:rsid w:val="00B10A2E"/>
    <w:rsid w:val="00B10DBB"/>
    <w:rsid w:val="00B10DCE"/>
    <w:rsid w:val="00B10EC8"/>
    <w:rsid w:val="00B11679"/>
    <w:rsid w:val="00B11A10"/>
    <w:rsid w:val="00B122E4"/>
    <w:rsid w:val="00B12555"/>
    <w:rsid w:val="00B1262D"/>
    <w:rsid w:val="00B12DB2"/>
    <w:rsid w:val="00B137D0"/>
    <w:rsid w:val="00B139D8"/>
    <w:rsid w:val="00B14130"/>
    <w:rsid w:val="00B14529"/>
    <w:rsid w:val="00B147B2"/>
    <w:rsid w:val="00B148AF"/>
    <w:rsid w:val="00B14CA9"/>
    <w:rsid w:val="00B15488"/>
    <w:rsid w:val="00B1564D"/>
    <w:rsid w:val="00B156EF"/>
    <w:rsid w:val="00B15B4E"/>
    <w:rsid w:val="00B1611A"/>
    <w:rsid w:val="00B1622C"/>
    <w:rsid w:val="00B16386"/>
    <w:rsid w:val="00B16501"/>
    <w:rsid w:val="00B165BA"/>
    <w:rsid w:val="00B16820"/>
    <w:rsid w:val="00B16A94"/>
    <w:rsid w:val="00B17063"/>
    <w:rsid w:val="00B1706F"/>
    <w:rsid w:val="00B173AF"/>
    <w:rsid w:val="00B179C1"/>
    <w:rsid w:val="00B17B4A"/>
    <w:rsid w:val="00B17BF1"/>
    <w:rsid w:val="00B20304"/>
    <w:rsid w:val="00B2030B"/>
    <w:rsid w:val="00B2033E"/>
    <w:rsid w:val="00B20547"/>
    <w:rsid w:val="00B2077A"/>
    <w:rsid w:val="00B20904"/>
    <w:rsid w:val="00B20A81"/>
    <w:rsid w:val="00B216A1"/>
    <w:rsid w:val="00B22240"/>
    <w:rsid w:val="00B226D1"/>
    <w:rsid w:val="00B22733"/>
    <w:rsid w:val="00B22894"/>
    <w:rsid w:val="00B22E9C"/>
    <w:rsid w:val="00B2316C"/>
    <w:rsid w:val="00B239A3"/>
    <w:rsid w:val="00B23A61"/>
    <w:rsid w:val="00B249A1"/>
    <w:rsid w:val="00B24A1F"/>
    <w:rsid w:val="00B25883"/>
    <w:rsid w:val="00B2637A"/>
    <w:rsid w:val="00B264B4"/>
    <w:rsid w:val="00B26A0C"/>
    <w:rsid w:val="00B26B6A"/>
    <w:rsid w:val="00B270FF"/>
    <w:rsid w:val="00B27A42"/>
    <w:rsid w:val="00B27D06"/>
    <w:rsid w:val="00B30122"/>
    <w:rsid w:val="00B30242"/>
    <w:rsid w:val="00B30935"/>
    <w:rsid w:val="00B30939"/>
    <w:rsid w:val="00B30B10"/>
    <w:rsid w:val="00B30EAA"/>
    <w:rsid w:val="00B31454"/>
    <w:rsid w:val="00B31BB2"/>
    <w:rsid w:val="00B32E31"/>
    <w:rsid w:val="00B33688"/>
    <w:rsid w:val="00B337D7"/>
    <w:rsid w:val="00B33F43"/>
    <w:rsid w:val="00B34885"/>
    <w:rsid w:val="00B34E2C"/>
    <w:rsid w:val="00B3540A"/>
    <w:rsid w:val="00B3564D"/>
    <w:rsid w:val="00B35BBF"/>
    <w:rsid w:val="00B36125"/>
    <w:rsid w:val="00B3615D"/>
    <w:rsid w:val="00B3646A"/>
    <w:rsid w:val="00B3650A"/>
    <w:rsid w:val="00B36555"/>
    <w:rsid w:val="00B36923"/>
    <w:rsid w:val="00B36B32"/>
    <w:rsid w:val="00B36F77"/>
    <w:rsid w:val="00B36FD8"/>
    <w:rsid w:val="00B377F5"/>
    <w:rsid w:val="00B378B2"/>
    <w:rsid w:val="00B37CEA"/>
    <w:rsid w:val="00B40026"/>
    <w:rsid w:val="00B40367"/>
    <w:rsid w:val="00B408C7"/>
    <w:rsid w:val="00B412E5"/>
    <w:rsid w:val="00B4136D"/>
    <w:rsid w:val="00B41C55"/>
    <w:rsid w:val="00B41F9A"/>
    <w:rsid w:val="00B423B6"/>
    <w:rsid w:val="00B428F7"/>
    <w:rsid w:val="00B43D1D"/>
    <w:rsid w:val="00B43D87"/>
    <w:rsid w:val="00B4413B"/>
    <w:rsid w:val="00B45445"/>
    <w:rsid w:val="00B454AB"/>
    <w:rsid w:val="00B4590A"/>
    <w:rsid w:val="00B4594E"/>
    <w:rsid w:val="00B46284"/>
    <w:rsid w:val="00B462F9"/>
    <w:rsid w:val="00B465C7"/>
    <w:rsid w:val="00B46AB3"/>
    <w:rsid w:val="00B46B95"/>
    <w:rsid w:val="00B46FAA"/>
    <w:rsid w:val="00B470C2"/>
    <w:rsid w:val="00B476AC"/>
    <w:rsid w:val="00B476E7"/>
    <w:rsid w:val="00B50742"/>
    <w:rsid w:val="00B50C6C"/>
    <w:rsid w:val="00B5170F"/>
    <w:rsid w:val="00B51C6B"/>
    <w:rsid w:val="00B521A7"/>
    <w:rsid w:val="00B525BA"/>
    <w:rsid w:val="00B52CC5"/>
    <w:rsid w:val="00B52D04"/>
    <w:rsid w:val="00B53537"/>
    <w:rsid w:val="00B5463E"/>
    <w:rsid w:val="00B54AAA"/>
    <w:rsid w:val="00B54C2E"/>
    <w:rsid w:val="00B54DD7"/>
    <w:rsid w:val="00B550E0"/>
    <w:rsid w:val="00B55525"/>
    <w:rsid w:val="00B55A56"/>
    <w:rsid w:val="00B5625A"/>
    <w:rsid w:val="00B56624"/>
    <w:rsid w:val="00B56681"/>
    <w:rsid w:val="00B56F0E"/>
    <w:rsid w:val="00B57061"/>
    <w:rsid w:val="00B571BA"/>
    <w:rsid w:val="00B57B6C"/>
    <w:rsid w:val="00B57F1A"/>
    <w:rsid w:val="00B57F7F"/>
    <w:rsid w:val="00B6070A"/>
    <w:rsid w:val="00B60C72"/>
    <w:rsid w:val="00B60F49"/>
    <w:rsid w:val="00B6122D"/>
    <w:rsid w:val="00B61DCD"/>
    <w:rsid w:val="00B62370"/>
    <w:rsid w:val="00B62AB2"/>
    <w:rsid w:val="00B637B2"/>
    <w:rsid w:val="00B63917"/>
    <w:rsid w:val="00B63EFD"/>
    <w:rsid w:val="00B64383"/>
    <w:rsid w:val="00B645C0"/>
    <w:rsid w:val="00B64D23"/>
    <w:rsid w:val="00B64EB3"/>
    <w:rsid w:val="00B65F50"/>
    <w:rsid w:val="00B665F7"/>
    <w:rsid w:val="00B66BA9"/>
    <w:rsid w:val="00B66FFF"/>
    <w:rsid w:val="00B6770B"/>
    <w:rsid w:val="00B67C2B"/>
    <w:rsid w:val="00B70521"/>
    <w:rsid w:val="00B711CD"/>
    <w:rsid w:val="00B716E7"/>
    <w:rsid w:val="00B71AD7"/>
    <w:rsid w:val="00B7233D"/>
    <w:rsid w:val="00B7254A"/>
    <w:rsid w:val="00B726C2"/>
    <w:rsid w:val="00B72771"/>
    <w:rsid w:val="00B727B8"/>
    <w:rsid w:val="00B72907"/>
    <w:rsid w:val="00B72C07"/>
    <w:rsid w:val="00B72F50"/>
    <w:rsid w:val="00B74C78"/>
    <w:rsid w:val="00B75598"/>
    <w:rsid w:val="00B75735"/>
    <w:rsid w:val="00B75C53"/>
    <w:rsid w:val="00B762C5"/>
    <w:rsid w:val="00B765CB"/>
    <w:rsid w:val="00B766FB"/>
    <w:rsid w:val="00B7728A"/>
    <w:rsid w:val="00B774CE"/>
    <w:rsid w:val="00B808D7"/>
    <w:rsid w:val="00B81CA4"/>
    <w:rsid w:val="00B827AF"/>
    <w:rsid w:val="00B828F3"/>
    <w:rsid w:val="00B82D5F"/>
    <w:rsid w:val="00B82FB9"/>
    <w:rsid w:val="00B8378C"/>
    <w:rsid w:val="00B8389A"/>
    <w:rsid w:val="00B83BA8"/>
    <w:rsid w:val="00B83C52"/>
    <w:rsid w:val="00B83D72"/>
    <w:rsid w:val="00B83E1C"/>
    <w:rsid w:val="00B8408A"/>
    <w:rsid w:val="00B840BF"/>
    <w:rsid w:val="00B84283"/>
    <w:rsid w:val="00B84D09"/>
    <w:rsid w:val="00B84E53"/>
    <w:rsid w:val="00B84FFE"/>
    <w:rsid w:val="00B87700"/>
    <w:rsid w:val="00B90308"/>
    <w:rsid w:val="00B90593"/>
    <w:rsid w:val="00B90697"/>
    <w:rsid w:val="00B906ED"/>
    <w:rsid w:val="00B90887"/>
    <w:rsid w:val="00B90B49"/>
    <w:rsid w:val="00B90DD1"/>
    <w:rsid w:val="00B91DD3"/>
    <w:rsid w:val="00B91E57"/>
    <w:rsid w:val="00B91FE9"/>
    <w:rsid w:val="00B92692"/>
    <w:rsid w:val="00B92778"/>
    <w:rsid w:val="00B92AB8"/>
    <w:rsid w:val="00B92EF9"/>
    <w:rsid w:val="00B93EFA"/>
    <w:rsid w:val="00B94D27"/>
    <w:rsid w:val="00B95488"/>
    <w:rsid w:val="00B95842"/>
    <w:rsid w:val="00B95E63"/>
    <w:rsid w:val="00B96215"/>
    <w:rsid w:val="00B96455"/>
    <w:rsid w:val="00B97567"/>
    <w:rsid w:val="00B97AF2"/>
    <w:rsid w:val="00B97F9D"/>
    <w:rsid w:val="00BA0947"/>
    <w:rsid w:val="00BA15B8"/>
    <w:rsid w:val="00BA1958"/>
    <w:rsid w:val="00BA1EB6"/>
    <w:rsid w:val="00BA20AB"/>
    <w:rsid w:val="00BA2229"/>
    <w:rsid w:val="00BA2CE6"/>
    <w:rsid w:val="00BA4324"/>
    <w:rsid w:val="00BA49F7"/>
    <w:rsid w:val="00BA4EA9"/>
    <w:rsid w:val="00BA5A64"/>
    <w:rsid w:val="00BA5B1F"/>
    <w:rsid w:val="00BA6481"/>
    <w:rsid w:val="00BA6B0E"/>
    <w:rsid w:val="00BA7251"/>
    <w:rsid w:val="00BA74BC"/>
    <w:rsid w:val="00BA7AB4"/>
    <w:rsid w:val="00BB091E"/>
    <w:rsid w:val="00BB0AEC"/>
    <w:rsid w:val="00BB15F5"/>
    <w:rsid w:val="00BB19D8"/>
    <w:rsid w:val="00BB1C1A"/>
    <w:rsid w:val="00BB26DD"/>
    <w:rsid w:val="00BB2FBD"/>
    <w:rsid w:val="00BB305D"/>
    <w:rsid w:val="00BB30CD"/>
    <w:rsid w:val="00BB3A77"/>
    <w:rsid w:val="00BB3DB0"/>
    <w:rsid w:val="00BB4356"/>
    <w:rsid w:val="00BB443C"/>
    <w:rsid w:val="00BB45C7"/>
    <w:rsid w:val="00BB4BF9"/>
    <w:rsid w:val="00BB4D38"/>
    <w:rsid w:val="00BB4E3B"/>
    <w:rsid w:val="00BB5635"/>
    <w:rsid w:val="00BB56FE"/>
    <w:rsid w:val="00BB582A"/>
    <w:rsid w:val="00BB6485"/>
    <w:rsid w:val="00BB6BA1"/>
    <w:rsid w:val="00BB79D7"/>
    <w:rsid w:val="00BB7B5E"/>
    <w:rsid w:val="00BC028B"/>
    <w:rsid w:val="00BC028C"/>
    <w:rsid w:val="00BC034B"/>
    <w:rsid w:val="00BC03E6"/>
    <w:rsid w:val="00BC0932"/>
    <w:rsid w:val="00BC1034"/>
    <w:rsid w:val="00BC1538"/>
    <w:rsid w:val="00BC24E0"/>
    <w:rsid w:val="00BC322B"/>
    <w:rsid w:val="00BC337A"/>
    <w:rsid w:val="00BC3556"/>
    <w:rsid w:val="00BC3AA8"/>
    <w:rsid w:val="00BC3E50"/>
    <w:rsid w:val="00BC4104"/>
    <w:rsid w:val="00BC4A4E"/>
    <w:rsid w:val="00BC4B07"/>
    <w:rsid w:val="00BC4C6E"/>
    <w:rsid w:val="00BC4CEA"/>
    <w:rsid w:val="00BC5800"/>
    <w:rsid w:val="00BC592B"/>
    <w:rsid w:val="00BC59F5"/>
    <w:rsid w:val="00BC5A3F"/>
    <w:rsid w:val="00BC617A"/>
    <w:rsid w:val="00BC61CC"/>
    <w:rsid w:val="00BC635B"/>
    <w:rsid w:val="00BC6ED4"/>
    <w:rsid w:val="00BC7557"/>
    <w:rsid w:val="00BC79E9"/>
    <w:rsid w:val="00BD049E"/>
    <w:rsid w:val="00BD0BB6"/>
    <w:rsid w:val="00BD0D6A"/>
    <w:rsid w:val="00BD1087"/>
    <w:rsid w:val="00BD13A3"/>
    <w:rsid w:val="00BD1618"/>
    <w:rsid w:val="00BD1DA3"/>
    <w:rsid w:val="00BD28A4"/>
    <w:rsid w:val="00BD2DCF"/>
    <w:rsid w:val="00BD3723"/>
    <w:rsid w:val="00BD3A94"/>
    <w:rsid w:val="00BD4774"/>
    <w:rsid w:val="00BD4840"/>
    <w:rsid w:val="00BD5158"/>
    <w:rsid w:val="00BD58E4"/>
    <w:rsid w:val="00BD5D02"/>
    <w:rsid w:val="00BD6B36"/>
    <w:rsid w:val="00BD6BB1"/>
    <w:rsid w:val="00BD6CF2"/>
    <w:rsid w:val="00BD6F77"/>
    <w:rsid w:val="00BD7392"/>
    <w:rsid w:val="00BE017A"/>
    <w:rsid w:val="00BE0652"/>
    <w:rsid w:val="00BE0ECA"/>
    <w:rsid w:val="00BE15F5"/>
    <w:rsid w:val="00BE1A9F"/>
    <w:rsid w:val="00BE1AC1"/>
    <w:rsid w:val="00BE1BFB"/>
    <w:rsid w:val="00BE1E49"/>
    <w:rsid w:val="00BE22CF"/>
    <w:rsid w:val="00BE2E49"/>
    <w:rsid w:val="00BE2EAC"/>
    <w:rsid w:val="00BE32B6"/>
    <w:rsid w:val="00BE331B"/>
    <w:rsid w:val="00BE3433"/>
    <w:rsid w:val="00BE3449"/>
    <w:rsid w:val="00BE3E32"/>
    <w:rsid w:val="00BE453D"/>
    <w:rsid w:val="00BE50C4"/>
    <w:rsid w:val="00BE5BFB"/>
    <w:rsid w:val="00BE5ECA"/>
    <w:rsid w:val="00BE5F36"/>
    <w:rsid w:val="00BE6CF0"/>
    <w:rsid w:val="00BF0606"/>
    <w:rsid w:val="00BF0C7E"/>
    <w:rsid w:val="00BF0F71"/>
    <w:rsid w:val="00BF1110"/>
    <w:rsid w:val="00BF146B"/>
    <w:rsid w:val="00BF156A"/>
    <w:rsid w:val="00BF1806"/>
    <w:rsid w:val="00BF2296"/>
    <w:rsid w:val="00BF2978"/>
    <w:rsid w:val="00BF2A05"/>
    <w:rsid w:val="00BF2B54"/>
    <w:rsid w:val="00BF2BE7"/>
    <w:rsid w:val="00BF3394"/>
    <w:rsid w:val="00BF37DD"/>
    <w:rsid w:val="00BF3C7D"/>
    <w:rsid w:val="00BF3E55"/>
    <w:rsid w:val="00BF4BFA"/>
    <w:rsid w:val="00BF4CA6"/>
    <w:rsid w:val="00BF5128"/>
    <w:rsid w:val="00BF5139"/>
    <w:rsid w:val="00BF536F"/>
    <w:rsid w:val="00BF56E7"/>
    <w:rsid w:val="00BF5802"/>
    <w:rsid w:val="00BF5C60"/>
    <w:rsid w:val="00BF5D88"/>
    <w:rsid w:val="00BF633B"/>
    <w:rsid w:val="00BF7AF1"/>
    <w:rsid w:val="00BF7C43"/>
    <w:rsid w:val="00C002D1"/>
    <w:rsid w:val="00C005FE"/>
    <w:rsid w:val="00C007A1"/>
    <w:rsid w:val="00C01B49"/>
    <w:rsid w:val="00C02A69"/>
    <w:rsid w:val="00C03184"/>
    <w:rsid w:val="00C036E2"/>
    <w:rsid w:val="00C03965"/>
    <w:rsid w:val="00C044A0"/>
    <w:rsid w:val="00C04BC3"/>
    <w:rsid w:val="00C055B6"/>
    <w:rsid w:val="00C058E8"/>
    <w:rsid w:val="00C05E8C"/>
    <w:rsid w:val="00C0677D"/>
    <w:rsid w:val="00C06FFD"/>
    <w:rsid w:val="00C0717E"/>
    <w:rsid w:val="00C07261"/>
    <w:rsid w:val="00C0737B"/>
    <w:rsid w:val="00C07AAD"/>
    <w:rsid w:val="00C10449"/>
    <w:rsid w:val="00C104D9"/>
    <w:rsid w:val="00C1087D"/>
    <w:rsid w:val="00C10C0D"/>
    <w:rsid w:val="00C10F89"/>
    <w:rsid w:val="00C11317"/>
    <w:rsid w:val="00C115B8"/>
    <w:rsid w:val="00C11683"/>
    <w:rsid w:val="00C12339"/>
    <w:rsid w:val="00C127B2"/>
    <w:rsid w:val="00C12D5A"/>
    <w:rsid w:val="00C13B31"/>
    <w:rsid w:val="00C142DC"/>
    <w:rsid w:val="00C14478"/>
    <w:rsid w:val="00C14546"/>
    <w:rsid w:val="00C14F94"/>
    <w:rsid w:val="00C14F9E"/>
    <w:rsid w:val="00C1516E"/>
    <w:rsid w:val="00C15963"/>
    <w:rsid w:val="00C15A1E"/>
    <w:rsid w:val="00C16641"/>
    <w:rsid w:val="00C16754"/>
    <w:rsid w:val="00C16B11"/>
    <w:rsid w:val="00C17DAC"/>
    <w:rsid w:val="00C17EBD"/>
    <w:rsid w:val="00C2016D"/>
    <w:rsid w:val="00C20DD5"/>
    <w:rsid w:val="00C218F9"/>
    <w:rsid w:val="00C21922"/>
    <w:rsid w:val="00C21B34"/>
    <w:rsid w:val="00C2285C"/>
    <w:rsid w:val="00C22AE3"/>
    <w:rsid w:val="00C22C72"/>
    <w:rsid w:val="00C24478"/>
    <w:rsid w:val="00C25890"/>
    <w:rsid w:val="00C263AE"/>
    <w:rsid w:val="00C26A0E"/>
    <w:rsid w:val="00C27498"/>
    <w:rsid w:val="00C27C76"/>
    <w:rsid w:val="00C309B2"/>
    <w:rsid w:val="00C30BE7"/>
    <w:rsid w:val="00C316D6"/>
    <w:rsid w:val="00C318A6"/>
    <w:rsid w:val="00C3192C"/>
    <w:rsid w:val="00C31E99"/>
    <w:rsid w:val="00C327CD"/>
    <w:rsid w:val="00C32925"/>
    <w:rsid w:val="00C329FE"/>
    <w:rsid w:val="00C334ED"/>
    <w:rsid w:val="00C33535"/>
    <w:rsid w:val="00C336E0"/>
    <w:rsid w:val="00C33879"/>
    <w:rsid w:val="00C34094"/>
    <w:rsid w:val="00C34154"/>
    <w:rsid w:val="00C34244"/>
    <w:rsid w:val="00C342C5"/>
    <w:rsid w:val="00C34A3A"/>
    <w:rsid w:val="00C34B6A"/>
    <w:rsid w:val="00C3595F"/>
    <w:rsid w:val="00C3660F"/>
    <w:rsid w:val="00C36ACA"/>
    <w:rsid w:val="00C37566"/>
    <w:rsid w:val="00C37649"/>
    <w:rsid w:val="00C40BA3"/>
    <w:rsid w:val="00C414AA"/>
    <w:rsid w:val="00C415E4"/>
    <w:rsid w:val="00C416E4"/>
    <w:rsid w:val="00C41982"/>
    <w:rsid w:val="00C41C45"/>
    <w:rsid w:val="00C41FAA"/>
    <w:rsid w:val="00C42C53"/>
    <w:rsid w:val="00C42E97"/>
    <w:rsid w:val="00C43222"/>
    <w:rsid w:val="00C43291"/>
    <w:rsid w:val="00C436D3"/>
    <w:rsid w:val="00C43910"/>
    <w:rsid w:val="00C44905"/>
    <w:rsid w:val="00C449AC"/>
    <w:rsid w:val="00C44AF1"/>
    <w:rsid w:val="00C44DAB"/>
    <w:rsid w:val="00C44E95"/>
    <w:rsid w:val="00C44F0E"/>
    <w:rsid w:val="00C4520E"/>
    <w:rsid w:val="00C45470"/>
    <w:rsid w:val="00C45815"/>
    <w:rsid w:val="00C4587D"/>
    <w:rsid w:val="00C4592D"/>
    <w:rsid w:val="00C45E4C"/>
    <w:rsid w:val="00C45F00"/>
    <w:rsid w:val="00C4604B"/>
    <w:rsid w:val="00C46289"/>
    <w:rsid w:val="00C46CE5"/>
    <w:rsid w:val="00C47179"/>
    <w:rsid w:val="00C4788F"/>
    <w:rsid w:val="00C50B85"/>
    <w:rsid w:val="00C514DB"/>
    <w:rsid w:val="00C51598"/>
    <w:rsid w:val="00C5181A"/>
    <w:rsid w:val="00C51A01"/>
    <w:rsid w:val="00C51B59"/>
    <w:rsid w:val="00C520B0"/>
    <w:rsid w:val="00C52120"/>
    <w:rsid w:val="00C5263F"/>
    <w:rsid w:val="00C52F99"/>
    <w:rsid w:val="00C5395D"/>
    <w:rsid w:val="00C53A41"/>
    <w:rsid w:val="00C543C2"/>
    <w:rsid w:val="00C5539B"/>
    <w:rsid w:val="00C554DE"/>
    <w:rsid w:val="00C5640A"/>
    <w:rsid w:val="00C56C46"/>
    <w:rsid w:val="00C57BFB"/>
    <w:rsid w:val="00C57FDF"/>
    <w:rsid w:val="00C604BF"/>
    <w:rsid w:val="00C60BD4"/>
    <w:rsid w:val="00C610E6"/>
    <w:rsid w:val="00C6137C"/>
    <w:rsid w:val="00C619DB"/>
    <w:rsid w:val="00C622C8"/>
    <w:rsid w:val="00C6275F"/>
    <w:rsid w:val="00C62FDB"/>
    <w:rsid w:val="00C63047"/>
    <w:rsid w:val="00C631BA"/>
    <w:rsid w:val="00C6361E"/>
    <w:rsid w:val="00C636A0"/>
    <w:rsid w:val="00C63A75"/>
    <w:rsid w:val="00C6582C"/>
    <w:rsid w:val="00C65A23"/>
    <w:rsid w:val="00C65C70"/>
    <w:rsid w:val="00C6637E"/>
    <w:rsid w:val="00C66B24"/>
    <w:rsid w:val="00C66E1A"/>
    <w:rsid w:val="00C670B2"/>
    <w:rsid w:val="00C670FC"/>
    <w:rsid w:val="00C67718"/>
    <w:rsid w:val="00C677C6"/>
    <w:rsid w:val="00C7042C"/>
    <w:rsid w:val="00C707DC"/>
    <w:rsid w:val="00C70970"/>
    <w:rsid w:val="00C70BAD"/>
    <w:rsid w:val="00C70BE1"/>
    <w:rsid w:val="00C70C0E"/>
    <w:rsid w:val="00C7110C"/>
    <w:rsid w:val="00C711B1"/>
    <w:rsid w:val="00C72118"/>
    <w:rsid w:val="00C72172"/>
    <w:rsid w:val="00C726F4"/>
    <w:rsid w:val="00C73383"/>
    <w:rsid w:val="00C737DF"/>
    <w:rsid w:val="00C739BC"/>
    <w:rsid w:val="00C74606"/>
    <w:rsid w:val="00C74C62"/>
    <w:rsid w:val="00C755FC"/>
    <w:rsid w:val="00C75D62"/>
    <w:rsid w:val="00C75DC9"/>
    <w:rsid w:val="00C76287"/>
    <w:rsid w:val="00C763F7"/>
    <w:rsid w:val="00C76918"/>
    <w:rsid w:val="00C7699C"/>
    <w:rsid w:val="00C77185"/>
    <w:rsid w:val="00C77A28"/>
    <w:rsid w:val="00C77AD2"/>
    <w:rsid w:val="00C8061F"/>
    <w:rsid w:val="00C80996"/>
    <w:rsid w:val="00C80DC6"/>
    <w:rsid w:val="00C81358"/>
    <w:rsid w:val="00C813BD"/>
    <w:rsid w:val="00C81816"/>
    <w:rsid w:val="00C81A5F"/>
    <w:rsid w:val="00C81DBC"/>
    <w:rsid w:val="00C823C4"/>
    <w:rsid w:val="00C82410"/>
    <w:rsid w:val="00C82441"/>
    <w:rsid w:val="00C826D7"/>
    <w:rsid w:val="00C82CE2"/>
    <w:rsid w:val="00C82F12"/>
    <w:rsid w:val="00C832B8"/>
    <w:rsid w:val="00C83317"/>
    <w:rsid w:val="00C8366B"/>
    <w:rsid w:val="00C836D6"/>
    <w:rsid w:val="00C8408D"/>
    <w:rsid w:val="00C8445A"/>
    <w:rsid w:val="00C84665"/>
    <w:rsid w:val="00C84A4B"/>
    <w:rsid w:val="00C84B52"/>
    <w:rsid w:val="00C852D5"/>
    <w:rsid w:val="00C85798"/>
    <w:rsid w:val="00C85A7A"/>
    <w:rsid w:val="00C85B38"/>
    <w:rsid w:val="00C85B60"/>
    <w:rsid w:val="00C8602B"/>
    <w:rsid w:val="00C86202"/>
    <w:rsid w:val="00C86321"/>
    <w:rsid w:val="00C86362"/>
    <w:rsid w:val="00C86E3A"/>
    <w:rsid w:val="00C86F57"/>
    <w:rsid w:val="00C87145"/>
    <w:rsid w:val="00C87250"/>
    <w:rsid w:val="00C872DA"/>
    <w:rsid w:val="00C91136"/>
    <w:rsid w:val="00C912D7"/>
    <w:rsid w:val="00C91418"/>
    <w:rsid w:val="00C92202"/>
    <w:rsid w:val="00C9241D"/>
    <w:rsid w:val="00C92A67"/>
    <w:rsid w:val="00C92B49"/>
    <w:rsid w:val="00C92FD6"/>
    <w:rsid w:val="00C9316E"/>
    <w:rsid w:val="00C9336C"/>
    <w:rsid w:val="00C9366A"/>
    <w:rsid w:val="00C93956"/>
    <w:rsid w:val="00C93A92"/>
    <w:rsid w:val="00C93DF2"/>
    <w:rsid w:val="00C94285"/>
    <w:rsid w:val="00C942C2"/>
    <w:rsid w:val="00C9459E"/>
    <w:rsid w:val="00C94BE9"/>
    <w:rsid w:val="00C94F4D"/>
    <w:rsid w:val="00C9590A"/>
    <w:rsid w:val="00C95FFC"/>
    <w:rsid w:val="00C965E0"/>
    <w:rsid w:val="00C96F98"/>
    <w:rsid w:val="00C979B9"/>
    <w:rsid w:val="00C97BF4"/>
    <w:rsid w:val="00C97CAB"/>
    <w:rsid w:val="00C97E56"/>
    <w:rsid w:val="00CA03B1"/>
    <w:rsid w:val="00CA0CCC"/>
    <w:rsid w:val="00CA100D"/>
    <w:rsid w:val="00CA1598"/>
    <w:rsid w:val="00CA16CA"/>
    <w:rsid w:val="00CA1D2D"/>
    <w:rsid w:val="00CA1F2C"/>
    <w:rsid w:val="00CA1F69"/>
    <w:rsid w:val="00CA21C9"/>
    <w:rsid w:val="00CA2537"/>
    <w:rsid w:val="00CA2D76"/>
    <w:rsid w:val="00CA3132"/>
    <w:rsid w:val="00CA3399"/>
    <w:rsid w:val="00CA35BB"/>
    <w:rsid w:val="00CA4333"/>
    <w:rsid w:val="00CA45E3"/>
    <w:rsid w:val="00CA4AFF"/>
    <w:rsid w:val="00CA4E12"/>
    <w:rsid w:val="00CA5ED7"/>
    <w:rsid w:val="00CA62C7"/>
    <w:rsid w:val="00CA6759"/>
    <w:rsid w:val="00CA682C"/>
    <w:rsid w:val="00CA6AC7"/>
    <w:rsid w:val="00CA6B37"/>
    <w:rsid w:val="00CA6B4A"/>
    <w:rsid w:val="00CA7098"/>
    <w:rsid w:val="00CA7187"/>
    <w:rsid w:val="00CA737E"/>
    <w:rsid w:val="00CA786B"/>
    <w:rsid w:val="00CA7CE9"/>
    <w:rsid w:val="00CB0874"/>
    <w:rsid w:val="00CB0AB4"/>
    <w:rsid w:val="00CB1B3B"/>
    <w:rsid w:val="00CB1BA3"/>
    <w:rsid w:val="00CB1E53"/>
    <w:rsid w:val="00CB2D59"/>
    <w:rsid w:val="00CB33CD"/>
    <w:rsid w:val="00CB376D"/>
    <w:rsid w:val="00CB3FC7"/>
    <w:rsid w:val="00CB402F"/>
    <w:rsid w:val="00CB41C6"/>
    <w:rsid w:val="00CB42D1"/>
    <w:rsid w:val="00CB4900"/>
    <w:rsid w:val="00CB4A6D"/>
    <w:rsid w:val="00CB51C9"/>
    <w:rsid w:val="00CB5657"/>
    <w:rsid w:val="00CB5B42"/>
    <w:rsid w:val="00CB62FF"/>
    <w:rsid w:val="00CB6A90"/>
    <w:rsid w:val="00CB6AA4"/>
    <w:rsid w:val="00CB6E0C"/>
    <w:rsid w:val="00CB705B"/>
    <w:rsid w:val="00CB73D5"/>
    <w:rsid w:val="00CB78AA"/>
    <w:rsid w:val="00CB7CF4"/>
    <w:rsid w:val="00CB7DD6"/>
    <w:rsid w:val="00CB7F44"/>
    <w:rsid w:val="00CC00B9"/>
    <w:rsid w:val="00CC02D7"/>
    <w:rsid w:val="00CC0721"/>
    <w:rsid w:val="00CC08BC"/>
    <w:rsid w:val="00CC0E31"/>
    <w:rsid w:val="00CC1A4A"/>
    <w:rsid w:val="00CC1CFF"/>
    <w:rsid w:val="00CC2159"/>
    <w:rsid w:val="00CC2167"/>
    <w:rsid w:val="00CC2273"/>
    <w:rsid w:val="00CC23CE"/>
    <w:rsid w:val="00CC261D"/>
    <w:rsid w:val="00CC2621"/>
    <w:rsid w:val="00CC2F1D"/>
    <w:rsid w:val="00CC3262"/>
    <w:rsid w:val="00CC39A9"/>
    <w:rsid w:val="00CC3D04"/>
    <w:rsid w:val="00CC3F16"/>
    <w:rsid w:val="00CC43CF"/>
    <w:rsid w:val="00CC4A5D"/>
    <w:rsid w:val="00CC5883"/>
    <w:rsid w:val="00CC5966"/>
    <w:rsid w:val="00CC63D4"/>
    <w:rsid w:val="00CC6AC1"/>
    <w:rsid w:val="00CC6CEB"/>
    <w:rsid w:val="00CC6CFD"/>
    <w:rsid w:val="00CC7036"/>
    <w:rsid w:val="00CC790D"/>
    <w:rsid w:val="00CC7A1E"/>
    <w:rsid w:val="00CC7A25"/>
    <w:rsid w:val="00CD0493"/>
    <w:rsid w:val="00CD1178"/>
    <w:rsid w:val="00CD18A4"/>
    <w:rsid w:val="00CD1F8F"/>
    <w:rsid w:val="00CD249E"/>
    <w:rsid w:val="00CD303B"/>
    <w:rsid w:val="00CD320F"/>
    <w:rsid w:val="00CD353A"/>
    <w:rsid w:val="00CD4336"/>
    <w:rsid w:val="00CD43EB"/>
    <w:rsid w:val="00CD4C87"/>
    <w:rsid w:val="00CD57B7"/>
    <w:rsid w:val="00CD5B05"/>
    <w:rsid w:val="00CD5BAD"/>
    <w:rsid w:val="00CD6007"/>
    <w:rsid w:val="00CD68C3"/>
    <w:rsid w:val="00CD6BF1"/>
    <w:rsid w:val="00CD7173"/>
    <w:rsid w:val="00CD768A"/>
    <w:rsid w:val="00CD7E4B"/>
    <w:rsid w:val="00CD7FA7"/>
    <w:rsid w:val="00CE0179"/>
    <w:rsid w:val="00CE087E"/>
    <w:rsid w:val="00CE0AB6"/>
    <w:rsid w:val="00CE1970"/>
    <w:rsid w:val="00CE24D8"/>
    <w:rsid w:val="00CE29C1"/>
    <w:rsid w:val="00CE30F8"/>
    <w:rsid w:val="00CE4186"/>
    <w:rsid w:val="00CE46F7"/>
    <w:rsid w:val="00CE4CD8"/>
    <w:rsid w:val="00CE4F99"/>
    <w:rsid w:val="00CE50A8"/>
    <w:rsid w:val="00CE54DE"/>
    <w:rsid w:val="00CE5997"/>
    <w:rsid w:val="00CE5C76"/>
    <w:rsid w:val="00CE63D5"/>
    <w:rsid w:val="00CE6967"/>
    <w:rsid w:val="00CE6C32"/>
    <w:rsid w:val="00CE7985"/>
    <w:rsid w:val="00CE7A3C"/>
    <w:rsid w:val="00CE7F3F"/>
    <w:rsid w:val="00CF0213"/>
    <w:rsid w:val="00CF097C"/>
    <w:rsid w:val="00CF0C5B"/>
    <w:rsid w:val="00CF0D76"/>
    <w:rsid w:val="00CF10F9"/>
    <w:rsid w:val="00CF1BBF"/>
    <w:rsid w:val="00CF1CEC"/>
    <w:rsid w:val="00CF1EDB"/>
    <w:rsid w:val="00CF203F"/>
    <w:rsid w:val="00CF215B"/>
    <w:rsid w:val="00CF2245"/>
    <w:rsid w:val="00CF228F"/>
    <w:rsid w:val="00CF24DC"/>
    <w:rsid w:val="00CF2801"/>
    <w:rsid w:val="00CF2996"/>
    <w:rsid w:val="00CF3074"/>
    <w:rsid w:val="00CF37B0"/>
    <w:rsid w:val="00CF40D4"/>
    <w:rsid w:val="00CF4183"/>
    <w:rsid w:val="00CF437B"/>
    <w:rsid w:val="00CF5B9F"/>
    <w:rsid w:val="00CF5E83"/>
    <w:rsid w:val="00CF5EFA"/>
    <w:rsid w:val="00CF6098"/>
    <w:rsid w:val="00CF683E"/>
    <w:rsid w:val="00CF7A29"/>
    <w:rsid w:val="00D000A3"/>
    <w:rsid w:val="00D01466"/>
    <w:rsid w:val="00D01630"/>
    <w:rsid w:val="00D021F3"/>
    <w:rsid w:val="00D02A5A"/>
    <w:rsid w:val="00D037BB"/>
    <w:rsid w:val="00D0431C"/>
    <w:rsid w:val="00D04A94"/>
    <w:rsid w:val="00D04C41"/>
    <w:rsid w:val="00D04D40"/>
    <w:rsid w:val="00D04EE3"/>
    <w:rsid w:val="00D05258"/>
    <w:rsid w:val="00D05780"/>
    <w:rsid w:val="00D057F9"/>
    <w:rsid w:val="00D0584B"/>
    <w:rsid w:val="00D0588E"/>
    <w:rsid w:val="00D06789"/>
    <w:rsid w:val="00D06C4E"/>
    <w:rsid w:val="00D0709F"/>
    <w:rsid w:val="00D07565"/>
    <w:rsid w:val="00D077EC"/>
    <w:rsid w:val="00D07F23"/>
    <w:rsid w:val="00D10C8C"/>
    <w:rsid w:val="00D10EAC"/>
    <w:rsid w:val="00D11407"/>
    <w:rsid w:val="00D11920"/>
    <w:rsid w:val="00D11B7B"/>
    <w:rsid w:val="00D120F4"/>
    <w:rsid w:val="00D122CB"/>
    <w:rsid w:val="00D13172"/>
    <w:rsid w:val="00D13C99"/>
    <w:rsid w:val="00D141A6"/>
    <w:rsid w:val="00D14CCE"/>
    <w:rsid w:val="00D15BCB"/>
    <w:rsid w:val="00D15C66"/>
    <w:rsid w:val="00D16D73"/>
    <w:rsid w:val="00D16EC5"/>
    <w:rsid w:val="00D17CE5"/>
    <w:rsid w:val="00D17F7D"/>
    <w:rsid w:val="00D207D2"/>
    <w:rsid w:val="00D20B26"/>
    <w:rsid w:val="00D21347"/>
    <w:rsid w:val="00D213C7"/>
    <w:rsid w:val="00D213CD"/>
    <w:rsid w:val="00D21C4F"/>
    <w:rsid w:val="00D21CE7"/>
    <w:rsid w:val="00D21EC9"/>
    <w:rsid w:val="00D235D7"/>
    <w:rsid w:val="00D24068"/>
    <w:rsid w:val="00D24672"/>
    <w:rsid w:val="00D24C02"/>
    <w:rsid w:val="00D250FE"/>
    <w:rsid w:val="00D25757"/>
    <w:rsid w:val="00D25AD4"/>
    <w:rsid w:val="00D26406"/>
    <w:rsid w:val="00D26DBA"/>
    <w:rsid w:val="00D30823"/>
    <w:rsid w:val="00D3088E"/>
    <w:rsid w:val="00D315D5"/>
    <w:rsid w:val="00D31DFD"/>
    <w:rsid w:val="00D323DD"/>
    <w:rsid w:val="00D32476"/>
    <w:rsid w:val="00D32879"/>
    <w:rsid w:val="00D32BDD"/>
    <w:rsid w:val="00D32C4A"/>
    <w:rsid w:val="00D333B9"/>
    <w:rsid w:val="00D34034"/>
    <w:rsid w:val="00D34A28"/>
    <w:rsid w:val="00D35472"/>
    <w:rsid w:val="00D35731"/>
    <w:rsid w:val="00D35EE2"/>
    <w:rsid w:val="00D35FBB"/>
    <w:rsid w:val="00D36152"/>
    <w:rsid w:val="00D3660B"/>
    <w:rsid w:val="00D36B18"/>
    <w:rsid w:val="00D371E7"/>
    <w:rsid w:val="00D3762D"/>
    <w:rsid w:val="00D379C8"/>
    <w:rsid w:val="00D401D4"/>
    <w:rsid w:val="00D40252"/>
    <w:rsid w:val="00D408F0"/>
    <w:rsid w:val="00D40961"/>
    <w:rsid w:val="00D40CB2"/>
    <w:rsid w:val="00D40D70"/>
    <w:rsid w:val="00D40E0F"/>
    <w:rsid w:val="00D41558"/>
    <w:rsid w:val="00D41F97"/>
    <w:rsid w:val="00D421CA"/>
    <w:rsid w:val="00D430B3"/>
    <w:rsid w:val="00D43757"/>
    <w:rsid w:val="00D43905"/>
    <w:rsid w:val="00D4397C"/>
    <w:rsid w:val="00D43F2D"/>
    <w:rsid w:val="00D43F70"/>
    <w:rsid w:val="00D44EAC"/>
    <w:rsid w:val="00D45340"/>
    <w:rsid w:val="00D455ED"/>
    <w:rsid w:val="00D45C3A"/>
    <w:rsid w:val="00D46503"/>
    <w:rsid w:val="00D4694E"/>
    <w:rsid w:val="00D46DA3"/>
    <w:rsid w:val="00D46DA6"/>
    <w:rsid w:val="00D515BA"/>
    <w:rsid w:val="00D517B2"/>
    <w:rsid w:val="00D5260D"/>
    <w:rsid w:val="00D527C7"/>
    <w:rsid w:val="00D5314D"/>
    <w:rsid w:val="00D535C1"/>
    <w:rsid w:val="00D53863"/>
    <w:rsid w:val="00D53DC3"/>
    <w:rsid w:val="00D54288"/>
    <w:rsid w:val="00D5436A"/>
    <w:rsid w:val="00D54870"/>
    <w:rsid w:val="00D54D13"/>
    <w:rsid w:val="00D54DD2"/>
    <w:rsid w:val="00D5519D"/>
    <w:rsid w:val="00D552F8"/>
    <w:rsid w:val="00D55C64"/>
    <w:rsid w:val="00D55E51"/>
    <w:rsid w:val="00D567E0"/>
    <w:rsid w:val="00D569F3"/>
    <w:rsid w:val="00D56E29"/>
    <w:rsid w:val="00D57808"/>
    <w:rsid w:val="00D57902"/>
    <w:rsid w:val="00D57967"/>
    <w:rsid w:val="00D57B13"/>
    <w:rsid w:val="00D600C6"/>
    <w:rsid w:val="00D6069E"/>
    <w:rsid w:val="00D60918"/>
    <w:rsid w:val="00D60AFC"/>
    <w:rsid w:val="00D60B7E"/>
    <w:rsid w:val="00D610AA"/>
    <w:rsid w:val="00D61283"/>
    <w:rsid w:val="00D612AD"/>
    <w:rsid w:val="00D61516"/>
    <w:rsid w:val="00D6209B"/>
    <w:rsid w:val="00D62208"/>
    <w:rsid w:val="00D62685"/>
    <w:rsid w:val="00D6292D"/>
    <w:rsid w:val="00D62A83"/>
    <w:rsid w:val="00D645AE"/>
    <w:rsid w:val="00D64C3A"/>
    <w:rsid w:val="00D65197"/>
    <w:rsid w:val="00D65735"/>
    <w:rsid w:val="00D66323"/>
    <w:rsid w:val="00D66C48"/>
    <w:rsid w:val="00D66EFD"/>
    <w:rsid w:val="00D674DC"/>
    <w:rsid w:val="00D67FAD"/>
    <w:rsid w:val="00D67FE7"/>
    <w:rsid w:val="00D70214"/>
    <w:rsid w:val="00D70A22"/>
    <w:rsid w:val="00D71271"/>
    <w:rsid w:val="00D713C0"/>
    <w:rsid w:val="00D71B5F"/>
    <w:rsid w:val="00D71C60"/>
    <w:rsid w:val="00D723C2"/>
    <w:rsid w:val="00D7243A"/>
    <w:rsid w:val="00D7261A"/>
    <w:rsid w:val="00D7271A"/>
    <w:rsid w:val="00D72E81"/>
    <w:rsid w:val="00D73EFA"/>
    <w:rsid w:val="00D73F49"/>
    <w:rsid w:val="00D74528"/>
    <w:rsid w:val="00D74E6A"/>
    <w:rsid w:val="00D75012"/>
    <w:rsid w:val="00D75DBD"/>
    <w:rsid w:val="00D76040"/>
    <w:rsid w:val="00D76620"/>
    <w:rsid w:val="00D767C7"/>
    <w:rsid w:val="00D76E86"/>
    <w:rsid w:val="00D80156"/>
    <w:rsid w:val="00D80210"/>
    <w:rsid w:val="00D8059F"/>
    <w:rsid w:val="00D80930"/>
    <w:rsid w:val="00D80C8B"/>
    <w:rsid w:val="00D81560"/>
    <w:rsid w:val="00D8162E"/>
    <w:rsid w:val="00D81FE7"/>
    <w:rsid w:val="00D820AD"/>
    <w:rsid w:val="00D82542"/>
    <w:rsid w:val="00D828B1"/>
    <w:rsid w:val="00D82BA1"/>
    <w:rsid w:val="00D82C2A"/>
    <w:rsid w:val="00D82EF6"/>
    <w:rsid w:val="00D846AA"/>
    <w:rsid w:val="00D84D1B"/>
    <w:rsid w:val="00D85340"/>
    <w:rsid w:val="00D858BA"/>
    <w:rsid w:val="00D85EB3"/>
    <w:rsid w:val="00D86319"/>
    <w:rsid w:val="00D86DE3"/>
    <w:rsid w:val="00D86E0B"/>
    <w:rsid w:val="00D87860"/>
    <w:rsid w:val="00D901AF"/>
    <w:rsid w:val="00D902EA"/>
    <w:rsid w:val="00D90666"/>
    <w:rsid w:val="00D909A5"/>
    <w:rsid w:val="00D90C56"/>
    <w:rsid w:val="00D9121C"/>
    <w:rsid w:val="00D9194D"/>
    <w:rsid w:val="00D91966"/>
    <w:rsid w:val="00D91AC2"/>
    <w:rsid w:val="00D91B3B"/>
    <w:rsid w:val="00D92930"/>
    <w:rsid w:val="00D92A35"/>
    <w:rsid w:val="00D93371"/>
    <w:rsid w:val="00D9340E"/>
    <w:rsid w:val="00D93A65"/>
    <w:rsid w:val="00D945E6"/>
    <w:rsid w:val="00D9469E"/>
    <w:rsid w:val="00D947BE"/>
    <w:rsid w:val="00D947F5"/>
    <w:rsid w:val="00D94D5C"/>
    <w:rsid w:val="00D94E1D"/>
    <w:rsid w:val="00D95435"/>
    <w:rsid w:val="00D95525"/>
    <w:rsid w:val="00D956E4"/>
    <w:rsid w:val="00D95F2C"/>
    <w:rsid w:val="00D95F8D"/>
    <w:rsid w:val="00D95F93"/>
    <w:rsid w:val="00D9683C"/>
    <w:rsid w:val="00D96856"/>
    <w:rsid w:val="00D96FB2"/>
    <w:rsid w:val="00D970D5"/>
    <w:rsid w:val="00D97884"/>
    <w:rsid w:val="00D97A9B"/>
    <w:rsid w:val="00D97BB1"/>
    <w:rsid w:val="00DA0241"/>
    <w:rsid w:val="00DA0810"/>
    <w:rsid w:val="00DA138E"/>
    <w:rsid w:val="00DA1416"/>
    <w:rsid w:val="00DA19C9"/>
    <w:rsid w:val="00DA1C33"/>
    <w:rsid w:val="00DA217A"/>
    <w:rsid w:val="00DA21DF"/>
    <w:rsid w:val="00DA2FA3"/>
    <w:rsid w:val="00DA35F4"/>
    <w:rsid w:val="00DA378B"/>
    <w:rsid w:val="00DA3FCC"/>
    <w:rsid w:val="00DA410D"/>
    <w:rsid w:val="00DA4ABD"/>
    <w:rsid w:val="00DA5334"/>
    <w:rsid w:val="00DA543E"/>
    <w:rsid w:val="00DA5679"/>
    <w:rsid w:val="00DA5DE0"/>
    <w:rsid w:val="00DA6026"/>
    <w:rsid w:val="00DA7401"/>
    <w:rsid w:val="00DA74FA"/>
    <w:rsid w:val="00DA7DCA"/>
    <w:rsid w:val="00DB0651"/>
    <w:rsid w:val="00DB06D3"/>
    <w:rsid w:val="00DB06D4"/>
    <w:rsid w:val="00DB0C26"/>
    <w:rsid w:val="00DB0D70"/>
    <w:rsid w:val="00DB123D"/>
    <w:rsid w:val="00DB150B"/>
    <w:rsid w:val="00DB1C37"/>
    <w:rsid w:val="00DB1C9E"/>
    <w:rsid w:val="00DB201F"/>
    <w:rsid w:val="00DB2087"/>
    <w:rsid w:val="00DB2837"/>
    <w:rsid w:val="00DB2F04"/>
    <w:rsid w:val="00DB3315"/>
    <w:rsid w:val="00DB36B3"/>
    <w:rsid w:val="00DB36E5"/>
    <w:rsid w:val="00DB3782"/>
    <w:rsid w:val="00DB38CA"/>
    <w:rsid w:val="00DB497B"/>
    <w:rsid w:val="00DB5884"/>
    <w:rsid w:val="00DB58A2"/>
    <w:rsid w:val="00DB5D74"/>
    <w:rsid w:val="00DB5E39"/>
    <w:rsid w:val="00DB63CA"/>
    <w:rsid w:val="00DB6616"/>
    <w:rsid w:val="00DB6D1B"/>
    <w:rsid w:val="00DB6FF0"/>
    <w:rsid w:val="00DB7A98"/>
    <w:rsid w:val="00DC05A1"/>
    <w:rsid w:val="00DC088D"/>
    <w:rsid w:val="00DC08FC"/>
    <w:rsid w:val="00DC0BDF"/>
    <w:rsid w:val="00DC0C57"/>
    <w:rsid w:val="00DC141E"/>
    <w:rsid w:val="00DC1487"/>
    <w:rsid w:val="00DC14CB"/>
    <w:rsid w:val="00DC15B9"/>
    <w:rsid w:val="00DC1C30"/>
    <w:rsid w:val="00DC1C9F"/>
    <w:rsid w:val="00DC1F17"/>
    <w:rsid w:val="00DC204A"/>
    <w:rsid w:val="00DC2315"/>
    <w:rsid w:val="00DC2344"/>
    <w:rsid w:val="00DC25A2"/>
    <w:rsid w:val="00DC2D42"/>
    <w:rsid w:val="00DC35C4"/>
    <w:rsid w:val="00DC35FA"/>
    <w:rsid w:val="00DC3AB1"/>
    <w:rsid w:val="00DC3F91"/>
    <w:rsid w:val="00DC455E"/>
    <w:rsid w:val="00DC4D6E"/>
    <w:rsid w:val="00DC51EA"/>
    <w:rsid w:val="00DC538A"/>
    <w:rsid w:val="00DC58A6"/>
    <w:rsid w:val="00DC5A02"/>
    <w:rsid w:val="00DC6D59"/>
    <w:rsid w:val="00DC6E22"/>
    <w:rsid w:val="00DC6F77"/>
    <w:rsid w:val="00DC7193"/>
    <w:rsid w:val="00DC75E2"/>
    <w:rsid w:val="00DC7970"/>
    <w:rsid w:val="00DD0396"/>
    <w:rsid w:val="00DD0881"/>
    <w:rsid w:val="00DD0A3D"/>
    <w:rsid w:val="00DD0C55"/>
    <w:rsid w:val="00DD176E"/>
    <w:rsid w:val="00DD19FB"/>
    <w:rsid w:val="00DD1A29"/>
    <w:rsid w:val="00DD1A5F"/>
    <w:rsid w:val="00DD1AD2"/>
    <w:rsid w:val="00DD2245"/>
    <w:rsid w:val="00DD2F2D"/>
    <w:rsid w:val="00DD2F43"/>
    <w:rsid w:val="00DD36C2"/>
    <w:rsid w:val="00DD3A6D"/>
    <w:rsid w:val="00DD3BB1"/>
    <w:rsid w:val="00DD3E9B"/>
    <w:rsid w:val="00DD426C"/>
    <w:rsid w:val="00DD55D7"/>
    <w:rsid w:val="00DD58E5"/>
    <w:rsid w:val="00DD613C"/>
    <w:rsid w:val="00DD657A"/>
    <w:rsid w:val="00DD66F7"/>
    <w:rsid w:val="00DD764A"/>
    <w:rsid w:val="00DD7B53"/>
    <w:rsid w:val="00DD7E45"/>
    <w:rsid w:val="00DE0016"/>
    <w:rsid w:val="00DE0882"/>
    <w:rsid w:val="00DE0CA8"/>
    <w:rsid w:val="00DE0DEF"/>
    <w:rsid w:val="00DE0FA9"/>
    <w:rsid w:val="00DE1028"/>
    <w:rsid w:val="00DE1370"/>
    <w:rsid w:val="00DE1982"/>
    <w:rsid w:val="00DE1D5B"/>
    <w:rsid w:val="00DE1EE8"/>
    <w:rsid w:val="00DE23DF"/>
    <w:rsid w:val="00DE23FC"/>
    <w:rsid w:val="00DE2708"/>
    <w:rsid w:val="00DE2827"/>
    <w:rsid w:val="00DE31C4"/>
    <w:rsid w:val="00DE3696"/>
    <w:rsid w:val="00DE3ACF"/>
    <w:rsid w:val="00DE3EDE"/>
    <w:rsid w:val="00DE4D1E"/>
    <w:rsid w:val="00DE57D3"/>
    <w:rsid w:val="00DE65A2"/>
    <w:rsid w:val="00DE66CB"/>
    <w:rsid w:val="00DE694E"/>
    <w:rsid w:val="00DE70E8"/>
    <w:rsid w:val="00DE7131"/>
    <w:rsid w:val="00DE76D1"/>
    <w:rsid w:val="00DE7A2B"/>
    <w:rsid w:val="00DE7A4A"/>
    <w:rsid w:val="00DF0005"/>
    <w:rsid w:val="00DF00EB"/>
    <w:rsid w:val="00DF01E3"/>
    <w:rsid w:val="00DF07CD"/>
    <w:rsid w:val="00DF0D8E"/>
    <w:rsid w:val="00DF1814"/>
    <w:rsid w:val="00DF199D"/>
    <w:rsid w:val="00DF1C0C"/>
    <w:rsid w:val="00DF1D1B"/>
    <w:rsid w:val="00DF2183"/>
    <w:rsid w:val="00DF2226"/>
    <w:rsid w:val="00DF2B58"/>
    <w:rsid w:val="00DF32CA"/>
    <w:rsid w:val="00DF342B"/>
    <w:rsid w:val="00DF3EB3"/>
    <w:rsid w:val="00DF4A9B"/>
    <w:rsid w:val="00DF4F87"/>
    <w:rsid w:val="00DF52F7"/>
    <w:rsid w:val="00DF5844"/>
    <w:rsid w:val="00DF673C"/>
    <w:rsid w:val="00DF6ADA"/>
    <w:rsid w:val="00DF6EF1"/>
    <w:rsid w:val="00DF6FB9"/>
    <w:rsid w:val="00DF766D"/>
    <w:rsid w:val="00DF7DA2"/>
    <w:rsid w:val="00DF7F17"/>
    <w:rsid w:val="00E000C6"/>
    <w:rsid w:val="00E00319"/>
    <w:rsid w:val="00E00371"/>
    <w:rsid w:val="00E0061D"/>
    <w:rsid w:val="00E00ADD"/>
    <w:rsid w:val="00E00CAD"/>
    <w:rsid w:val="00E01860"/>
    <w:rsid w:val="00E0214E"/>
    <w:rsid w:val="00E027FC"/>
    <w:rsid w:val="00E02B9B"/>
    <w:rsid w:val="00E02F30"/>
    <w:rsid w:val="00E0333D"/>
    <w:rsid w:val="00E04015"/>
    <w:rsid w:val="00E04448"/>
    <w:rsid w:val="00E04950"/>
    <w:rsid w:val="00E0498E"/>
    <w:rsid w:val="00E05106"/>
    <w:rsid w:val="00E051D5"/>
    <w:rsid w:val="00E059C5"/>
    <w:rsid w:val="00E06C35"/>
    <w:rsid w:val="00E0724D"/>
    <w:rsid w:val="00E07C78"/>
    <w:rsid w:val="00E10748"/>
    <w:rsid w:val="00E10794"/>
    <w:rsid w:val="00E10989"/>
    <w:rsid w:val="00E10A26"/>
    <w:rsid w:val="00E10C50"/>
    <w:rsid w:val="00E10F6A"/>
    <w:rsid w:val="00E1145B"/>
    <w:rsid w:val="00E114A2"/>
    <w:rsid w:val="00E118B9"/>
    <w:rsid w:val="00E11B91"/>
    <w:rsid w:val="00E11EDF"/>
    <w:rsid w:val="00E11F7E"/>
    <w:rsid w:val="00E126ED"/>
    <w:rsid w:val="00E12C8F"/>
    <w:rsid w:val="00E12D50"/>
    <w:rsid w:val="00E12E3B"/>
    <w:rsid w:val="00E136ED"/>
    <w:rsid w:val="00E137AF"/>
    <w:rsid w:val="00E13A37"/>
    <w:rsid w:val="00E13C58"/>
    <w:rsid w:val="00E1428B"/>
    <w:rsid w:val="00E14315"/>
    <w:rsid w:val="00E14648"/>
    <w:rsid w:val="00E14B62"/>
    <w:rsid w:val="00E15449"/>
    <w:rsid w:val="00E165E7"/>
    <w:rsid w:val="00E16732"/>
    <w:rsid w:val="00E16B12"/>
    <w:rsid w:val="00E17167"/>
    <w:rsid w:val="00E17C33"/>
    <w:rsid w:val="00E2002B"/>
    <w:rsid w:val="00E2003A"/>
    <w:rsid w:val="00E20A91"/>
    <w:rsid w:val="00E20E83"/>
    <w:rsid w:val="00E20FB9"/>
    <w:rsid w:val="00E20FEC"/>
    <w:rsid w:val="00E2117A"/>
    <w:rsid w:val="00E2134D"/>
    <w:rsid w:val="00E21D4C"/>
    <w:rsid w:val="00E2260D"/>
    <w:rsid w:val="00E2262A"/>
    <w:rsid w:val="00E230A5"/>
    <w:rsid w:val="00E2322B"/>
    <w:rsid w:val="00E23A3E"/>
    <w:rsid w:val="00E244CA"/>
    <w:rsid w:val="00E24F5D"/>
    <w:rsid w:val="00E25C53"/>
    <w:rsid w:val="00E261F1"/>
    <w:rsid w:val="00E264D4"/>
    <w:rsid w:val="00E2688A"/>
    <w:rsid w:val="00E26A14"/>
    <w:rsid w:val="00E26F01"/>
    <w:rsid w:val="00E26FDF"/>
    <w:rsid w:val="00E270F0"/>
    <w:rsid w:val="00E2713F"/>
    <w:rsid w:val="00E272CF"/>
    <w:rsid w:val="00E277B4"/>
    <w:rsid w:val="00E3047D"/>
    <w:rsid w:val="00E30901"/>
    <w:rsid w:val="00E309FB"/>
    <w:rsid w:val="00E31061"/>
    <w:rsid w:val="00E31366"/>
    <w:rsid w:val="00E317AB"/>
    <w:rsid w:val="00E3230F"/>
    <w:rsid w:val="00E3244C"/>
    <w:rsid w:val="00E32487"/>
    <w:rsid w:val="00E325A6"/>
    <w:rsid w:val="00E326DE"/>
    <w:rsid w:val="00E32805"/>
    <w:rsid w:val="00E3447C"/>
    <w:rsid w:val="00E34761"/>
    <w:rsid w:val="00E34B85"/>
    <w:rsid w:val="00E34C3B"/>
    <w:rsid w:val="00E34CB2"/>
    <w:rsid w:val="00E35679"/>
    <w:rsid w:val="00E3575B"/>
    <w:rsid w:val="00E359CB"/>
    <w:rsid w:val="00E35E50"/>
    <w:rsid w:val="00E35E91"/>
    <w:rsid w:val="00E36A21"/>
    <w:rsid w:val="00E3707F"/>
    <w:rsid w:val="00E3714D"/>
    <w:rsid w:val="00E371D1"/>
    <w:rsid w:val="00E37B2C"/>
    <w:rsid w:val="00E40098"/>
    <w:rsid w:val="00E4062E"/>
    <w:rsid w:val="00E409E9"/>
    <w:rsid w:val="00E40D35"/>
    <w:rsid w:val="00E414E9"/>
    <w:rsid w:val="00E42295"/>
    <w:rsid w:val="00E427B6"/>
    <w:rsid w:val="00E43498"/>
    <w:rsid w:val="00E438EF"/>
    <w:rsid w:val="00E438FC"/>
    <w:rsid w:val="00E43CEE"/>
    <w:rsid w:val="00E4453D"/>
    <w:rsid w:val="00E44D67"/>
    <w:rsid w:val="00E45FEA"/>
    <w:rsid w:val="00E46011"/>
    <w:rsid w:val="00E473F7"/>
    <w:rsid w:val="00E4754C"/>
    <w:rsid w:val="00E47A27"/>
    <w:rsid w:val="00E5040E"/>
    <w:rsid w:val="00E50B80"/>
    <w:rsid w:val="00E50E30"/>
    <w:rsid w:val="00E515D3"/>
    <w:rsid w:val="00E51F40"/>
    <w:rsid w:val="00E51FB6"/>
    <w:rsid w:val="00E52F91"/>
    <w:rsid w:val="00E5395C"/>
    <w:rsid w:val="00E53FFB"/>
    <w:rsid w:val="00E5408C"/>
    <w:rsid w:val="00E54120"/>
    <w:rsid w:val="00E544D5"/>
    <w:rsid w:val="00E549F4"/>
    <w:rsid w:val="00E54B34"/>
    <w:rsid w:val="00E54D02"/>
    <w:rsid w:val="00E55312"/>
    <w:rsid w:val="00E556AF"/>
    <w:rsid w:val="00E55766"/>
    <w:rsid w:val="00E55899"/>
    <w:rsid w:val="00E5603B"/>
    <w:rsid w:val="00E56509"/>
    <w:rsid w:val="00E56DBF"/>
    <w:rsid w:val="00E57B25"/>
    <w:rsid w:val="00E60A75"/>
    <w:rsid w:val="00E6145F"/>
    <w:rsid w:val="00E617A9"/>
    <w:rsid w:val="00E61C2A"/>
    <w:rsid w:val="00E6209C"/>
    <w:rsid w:val="00E623CE"/>
    <w:rsid w:val="00E628BF"/>
    <w:rsid w:val="00E6346A"/>
    <w:rsid w:val="00E63CF6"/>
    <w:rsid w:val="00E643C5"/>
    <w:rsid w:val="00E64559"/>
    <w:rsid w:val="00E64C63"/>
    <w:rsid w:val="00E6545D"/>
    <w:rsid w:val="00E65DC7"/>
    <w:rsid w:val="00E67264"/>
    <w:rsid w:val="00E676F8"/>
    <w:rsid w:val="00E67942"/>
    <w:rsid w:val="00E67E39"/>
    <w:rsid w:val="00E7096D"/>
    <w:rsid w:val="00E70AD5"/>
    <w:rsid w:val="00E71064"/>
    <w:rsid w:val="00E71910"/>
    <w:rsid w:val="00E71FF0"/>
    <w:rsid w:val="00E73328"/>
    <w:rsid w:val="00E73D4F"/>
    <w:rsid w:val="00E73E83"/>
    <w:rsid w:val="00E749BF"/>
    <w:rsid w:val="00E74A9E"/>
    <w:rsid w:val="00E74AEA"/>
    <w:rsid w:val="00E74DE8"/>
    <w:rsid w:val="00E74EBE"/>
    <w:rsid w:val="00E75486"/>
    <w:rsid w:val="00E757B4"/>
    <w:rsid w:val="00E75D3E"/>
    <w:rsid w:val="00E76144"/>
    <w:rsid w:val="00E763D8"/>
    <w:rsid w:val="00E764F0"/>
    <w:rsid w:val="00E769E8"/>
    <w:rsid w:val="00E76C9E"/>
    <w:rsid w:val="00E77502"/>
    <w:rsid w:val="00E80408"/>
    <w:rsid w:val="00E80A68"/>
    <w:rsid w:val="00E80F31"/>
    <w:rsid w:val="00E8131B"/>
    <w:rsid w:val="00E818FE"/>
    <w:rsid w:val="00E81C30"/>
    <w:rsid w:val="00E81E43"/>
    <w:rsid w:val="00E821F7"/>
    <w:rsid w:val="00E82A36"/>
    <w:rsid w:val="00E82A93"/>
    <w:rsid w:val="00E82F09"/>
    <w:rsid w:val="00E832A0"/>
    <w:rsid w:val="00E83317"/>
    <w:rsid w:val="00E84434"/>
    <w:rsid w:val="00E84CDD"/>
    <w:rsid w:val="00E84FF8"/>
    <w:rsid w:val="00E85433"/>
    <w:rsid w:val="00E85DCE"/>
    <w:rsid w:val="00E85EE5"/>
    <w:rsid w:val="00E8642E"/>
    <w:rsid w:val="00E874A3"/>
    <w:rsid w:val="00E9005B"/>
    <w:rsid w:val="00E91AAB"/>
    <w:rsid w:val="00E91FC1"/>
    <w:rsid w:val="00E9216E"/>
    <w:rsid w:val="00E922FB"/>
    <w:rsid w:val="00E92FC7"/>
    <w:rsid w:val="00E937B5"/>
    <w:rsid w:val="00E93945"/>
    <w:rsid w:val="00E93CF7"/>
    <w:rsid w:val="00E93FB3"/>
    <w:rsid w:val="00E9442F"/>
    <w:rsid w:val="00E9541E"/>
    <w:rsid w:val="00E95B14"/>
    <w:rsid w:val="00E964AB"/>
    <w:rsid w:val="00E96563"/>
    <w:rsid w:val="00E972BA"/>
    <w:rsid w:val="00E97BA1"/>
    <w:rsid w:val="00E97F36"/>
    <w:rsid w:val="00EA06CD"/>
    <w:rsid w:val="00EA10E2"/>
    <w:rsid w:val="00EA1B05"/>
    <w:rsid w:val="00EA1DB8"/>
    <w:rsid w:val="00EA242A"/>
    <w:rsid w:val="00EA2E4A"/>
    <w:rsid w:val="00EA2E57"/>
    <w:rsid w:val="00EA2F7E"/>
    <w:rsid w:val="00EA31AE"/>
    <w:rsid w:val="00EA33C2"/>
    <w:rsid w:val="00EA389C"/>
    <w:rsid w:val="00EA3A68"/>
    <w:rsid w:val="00EA4173"/>
    <w:rsid w:val="00EA4181"/>
    <w:rsid w:val="00EA4806"/>
    <w:rsid w:val="00EA49B7"/>
    <w:rsid w:val="00EA4AB3"/>
    <w:rsid w:val="00EA5406"/>
    <w:rsid w:val="00EA54C6"/>
    <w:rsid w:val="00EA5B92"/>
    <w:rsid w:val="00EA671F"/>
    <w:rsid w:val="00EA685F"/>
    <w:rsid w:val="00EA68F6"/>
    <w:rsid w:val="00EA6DCD"/>
    <w:rsid w:val="00EA70CC"/>
    <w:rsid w:val="00EA7B50"/>
    <w:rsid w:val="00EB056C"/>
    <w:rsid w:val="00EB0769"/>
    <w:rsid w:val="00EB08A5"/>
    <w:rsid w:val="00EB0D4F"/>
    <w:rsid w:val="00EB0DB1"/>
    <w:rsid w:val="00EB0FA6"/>
    <w:rsid w:val="00EB251B"/>
    <w:rsid w:val="00EB256A"/>
    <w:rsid w:val="00EB2676"/>
    <w:rsid w:val="00EB41E5"/>
    <w:rsid w:val="00EB44BC"/>
    <w:rsid w:val="00EB47F5"/>
    <w:rsid w:val="00EB49E6"/>
    <w:rsid w:val="00EB4C9B"/>
    <w:rsid w:val="00EB4CF1"/>
    <w:rsid w:val="00EB4D9F"/>
    <w:rsid w:val="00EB5660"/>
    <w:rsid w:val="00EB57E1"/>
    <w:rsid w:val="00EB5C16"/>
    <w:rsid w:val="00EB5C60"/>
    <w:rsid w:val="00EB605A"/>
    <w:rsid w:val="00EB614C"/>
    <w:rsid w:val="00EB6494"/>
    <w:rsid w:val="00EB66DE"/>
    <w:rsid w:val="00EB6B24"/>
    <w:rsid w:val="00EB6B78"/>
    <w:rsid w:val="00EB742A"/>
    <w:rsid w:val="00EB7590"/>
    <w:rsid w:val="00EB75C5"/>
    <w:rsid w:val="00EB78B0"/>
    <w:rsid w:val="00EB7DEF"/>
    <w:rsid w:val="00EB7EF9"/>
    <w:rsid w:val="00EC0E48"/>
    <w:rsid w:val="00EC176B"/>
    <w:rsid w:val="00EC25EC"/>
    <w:rsid w:val="00EC331A"/>
    <w:rsid w:val="00EC3680"/>
    <w:rsid w:val="00EC3F9E"/>
    <w:rsid w:val="00EC400A"/>
    <w:rsid w:val="00EC45B8"/>
    <w:rsid w:val="00EC508E"/>
    <w:rsid w:val="00EC5349"/>
    <w:rsid w:val="00EC59B1"/>
    <w:rsid w:val="00EC6258"/>
    <w:rsid w:val="00EC65C3"/>
    <w:rsid w:val="00EC688E"/>
    <w:rsid w:val="00ED032C"/>
    <w:rsid w:val="00ED0450"/>
    <w:rsid w:val="00ED0490"/>
    <w:rsid w:val="00ED0F29"/>
    <w:rsid w:val="00ED162E"/>
    <w:rsid w:val="00ED2482"/>
    <w:rsid w:val="00ED26C1"/>
    <w:rsid w:val="00ED2ADA"/>
    <w:rsid w:val="00ED2B3D"/>
    <w:rsid w:val="00ED3BB1"/>
    <w:rsid w:val="00ED3BF7"/>
    <w:rsid w:val="00ED41EF"/>
    <w:rsid w:val="00ED45CF"/>
    <w:rsid w:val="00ED4807"/>
    <w:rsid w:val="00ED5299"/>
    <w:rsid w:val="00ED5573"/>
    <w:rsid w:val="00ED560F"/>
    <w:rsid w:val="00ED5CF3"/>
    <w:rsid w:val="00ED5ECF"/>
    <w:rsid w:val="00ED6413"/>
    <w:rsid w:val="00ED64F4"/>
    <w:rsid w:val="00ED6A56"/>
    <w:rsid w:val="00ED7001"/>
    <w:rsid w:val="00ED722C"/>
    <w:rsid w:val="00ED7AED"/>
    <w:rsid w:val="00EE0105"/>
    <w:rsid w:val="00EE0398"/>
    <w:rsid w:val="00EE0D5A"/>
    <w:rsid w:val="00EE0EE7"/>
    <w:rsid w:val="00EE1929"/>
    <w:rsid w:val="00EE1D26"/>
    <w:rsid w:val="00EE1F48"/>
    <w:rsid w:val="00EE20E6"/>
    <w:rsid w:val="00EE213C"/>
    <w:rsid w:val="00EE27B6"/>
    <w:rsid w:val="00EE2E89"/>
    <w:rsid w:val="00EE2EB9"/>
    <w:rsid w:val="00EE3542"/>
    <w:rsid w:val="00EE3604"/>
    <w:rsid w:val="00EE3A08"/>
    <w:rsid w:val="00EE4435"/>
    <w:rsid w:val="00EE46B9"/>
    <w:rsid w:val="00EE4C0F"/>
    <w:rsid w:val="00EE4DC1"/>
    <w:rsid w:val="00EE4DD3"/>
    <w:rsid w:val="00EE4F49"/>
    <w:rsid w:val="00EE54FB"/>
    <w:rsid w:val="00EE555A"/>
    <w:rsid w:val="00EE5580"/>
    <w:rsid w:val="00EE5844"/>
    <w:rsid w:val="00EE5900"/>
    <w:rsid w:val="00EE59FA"/>
    <w:rsid w:val="00EE62AA"/>
    <w:rsid w:val="00EE662C"/>
    <w:rsid w:val="00EE6A18"/>
    <w:rsid w:val="00EE6C4D"/>
    <w:rsid w:val="00EE717F"/>
    <w:rsid w:val="00EE7298"/>
    <w:rsid w:val="00EE7352"/>
    <w:rsid w:val="00EE73D8"/>
    <w:rsid w:val="00EE77AA"/>
    <w:rsid w:val="00EF10EC"/>
    <w:rsid w:val="00EF116E"/>
    <w:rsid w:val="00EF2347"/>
    <w:rsid w:val="00EF2788"/>
    <w:rsid w:val="00EF2BE8"/>
    <w:rsid w:val="00EF343B"/>
    <w:rsid w:val="00EF3FF2"/>
    <w:rsid w:val="00EF49CB"/>
    <w:rsid w:val="00EF4C6D"/>
    <w:rsid w:val="00EF4F48"/>
    <w:rsid w:val="00EF5014"/>
    <w:rsid w:val="00EF50F8"/>
    <w:rsid w:val="00EF5718"/>
    <w:rsid w:val="00EF5D49"/>
    <w:rsid w:val="00EF657D"/>
    <w:rsid w:val="00EF69D8"/>
    <w:rsid w:val="00EF6CA5"/>
    <w:rsid w:val="00EF7BC5"/>
    <w:rsid w:val="00EF7C4B"/>
    <w:rsid w:val="00F0030B"/>
    <w:rsid w:val="00F00888"/>
    <w:rsid w:val="00F0142B"/>
    <w:rsid w:val="00F01ACB"/>
    <w:rsid w:val="00F01AEC"/>
    <w:rsid w:val="00F01E2D"/>
    <w:rsid w:val="00F030C6"/>
    <w:rsid w:val="00F03C78"/>
    <w:rsid w:val="00F03D0B"/>
    <w:rsid w:val="00F03D76"/>
    <w:rsid w:val="00F03FF1"/>
    <w:rsid w:val="00F04019"/>
    <w:rsid w:val="00F044AD"/>
    <w:rsid w:val="00F04E37"/>
    <w:rsid w:val="00F04E58"/>
    <w:rsid w:val="00F053F2"/>
    <w:rsid w:val="00F05872"/>
    <w:rsid w:val="00F05D84"/>
    <w:rsid w:val="00F0608A"/>
    <w:rsid w:val="00F061F3"/>
    <w:rsid w:val="00F066CE"/>
    <w:rsid w:val="00F067B3"/>
    <w:rsid w:val="00F06A43"/>
    <w:rsid w:val="00F06E89"/>
    <w:rsid w:val="00F06EAB"/>
    <w:rsid w:val="00F06EF5"/>
    <w:rsid w:val="00F0747B"/>
    <w:rsid w:val="00F07F88"/>
    <w:rsid w:val="00F10559"/>
    <w:rsid w:val="00F10AFA"/>
    <w:rsid w:val="00F10C47"/>
    <w:rsid w:val="00F111B2"/>
    <w:rsid w:val="00F123BF"/>
    <w:rsid w:val="00F1325E"/>
    <w:rsid w:val="00F134B5"/>
    <w:rsid w:val="00F13767"/>
    <w:rsid w:val="00F13A7B"/>
    <w:rsid w:val="00F14408"/>
    <w:rsid w:val="00F1511B"/>
    <w:rsid w:val="00F15834"/>
    <w:rsid w:val="00F16316"/>
    <w:rsid w:val="00F17061"/>
    <w:rsid w:val="00F2041F"/>
    <w:rsid w:val="00F204A5"/>
    <w:rsid w:val="00F207F5"/>
    <w:rsid w:val="00F20C50"/>
    <w:rsid w:val="00F20DDF"/>
    <w:rsid w:val="00F2153E"/>
    <w:rsid w:val="00F2186A"/>
    <w:rsid w:val="00F2190D"/>
    <w:rsid w:val="00F21D09"/>
    <w:rsid w:val="00F21D85"/>
    <w:rsid w:val="00F22B20"/>
    <w:rsid w:val="00F22E99"/>
    <w:rsid w:val="00F231B6"/>
    <w:rsid w:val="00F237D6"/>
    <w:rsid w:val="00F237E0"/>
    <w:rsid w:val="00F23D7E"/>
    <w:rsid w:val="00F242EB"/>
    <w:rsid w:val="00F245F9"/>
    <w:rsid w:val="00F24D81"/>
    <w:rsid w:val="00F2504C"/>
    <w:rsid w:val="00F252C1"/>
    <w:rsid w:val="00F25492"/>
    <w:rsid w:val="00F255E6"/>
    <w:rsid w:val="00F25F5B"/>
    <w:rsid w:val="00F25FE0"/>
    <w:rsid w:val="00F25FEF"/>
    <w:rsid w:val="00F2602C"/>
    <w:rsid w:val="00F2612B"/>
    <w:rsid w:val="00F2652C"/>
    <w:rsid w:val="00F26C01"/>
    <w:rsid w:val="00F27F36"/>
    <w:rsid w:val="00F3001A"/>
    <w:rsid w:val="00F30238"/>
    <w:rsid w:val="00F30769"/>
    <w:rsid w:val="00F30DF2"/>
    <w:rsid w:val="00F30E94"/>
    <w:rsid w:val="00F31F3E"/>
    <w:rsid w:val="00F3250B"/>
    <w:rsid w:val="00F32F69"/>
    <w:rsid w:val="00F32F93"/>
    <w:rsid w:val="00F32F95"/>
    <w:rsid w:val="00F3405A"/>
    <w:rsid w:val="00F34257"/>
    <w:rsid w:val="00F357A1"/>
    <w:rsid w:val="00F35B98"/>
    <w:rsid w:val="00F3671E"/>
    <w:rsid w:val="00F37324"/>
    <w:rsid w:val="00F3754A"/>
    <w:rsid w:val="00F3754D"/>
    <w:rsid w:val="00F37F6B"/>
    <w:rsid w:val="00F40374"/>
    <w:rsid w:val="00F40C2C"/>
    <w:rsid w:val="00F40E9F"/>
    <w:rsid w:val="00F4122F"/>
    <w:rsid w:val="00F4161A"/>
    <w:rsid w:val="00F41859"/>
    <w:rsid w:val="00F41914"/>
    <w:rsid w:val="00F41A29"/>
    <w:rsid w:val="00F448E9"/>
    <w:rsid w:val="00F44A34"/>
    <w:rsid w:val="00F4513F"/>
    <w:rsid w:val="00F456EF"/>
    <w:rsid w:val="00F45CF0"/>
    <w:rsid w:val="00F45E67"/>
    <w:rsid w:val="00F46498"/>
    <w:rsid w:val="00F4657B"/>
    <w:rsid w:val="00F46BCC"/>
    <w:rsid w:val="00F470E8"/>
    <w:rsid w:val="00F47198"/>
    <w:rsid w:val="00F47AA5"/>
    <w:rsid w:val="00F47C3F"/>
    <w:rsid w:val="00F47C6E"/>
    <w:rsid w:val="00F504AD"/>
    <w:rsid w:val="00F507CC"/>
    <w:rsid w:val="00F5149C"/>
    <w:rsid w:val="00F5182F"/>
    <w:rsid w:val="00F51A22"/>
    <w:rsid w:val="00F51CA0"/>
    <w:rsid w:val="00F51DA9"/>
    <w:rsid w:val="00F52242"/>
    <w:rsid w:val="00F525BB"/>
    <w:rsid w:val="00F527BC"/>
    <w:rsid w:val="00F534C2"/>
    <w:rsid w:val="00F5406B"/>
    <w:rsid w:val="00F54783"/>
    <w:rsid w:val="00F54979"/>
    <w:rsid w:val="00F54FBE"/>
    <w:rsid w:val="00F5506E"/>
    <w:rsid w:val="00F55C23"/>
    <w:rsid w:val="00F55DE8"/>
    <w:rsid w:val="00F56B85"/>
    <w:rsid w:val="00F56D48"/>
    <w:rsid w:val="00F56D84"/>
    <w:rsid w:val="00F56F37"/>
    <w:rsid w:val="00F57B0E"/>
    <w:rsid w:val="00F57FF5"/>
    <w:rsid w:val="00F601D6"/>
    <w:rsid w:val="00F60625"/>
    <w:rsid w:val="00F6064F"/>
    <w:rsid w:val="00F61102"/>
    <w:rsid w:val="00F611F0"/>
    <w:rsid w:val="00F625EC"/>
    <w:rsid w:val="00F629A0"/>
    <w:rsid w:val="00F62BF6"/>
    <w:rsid w:val="00F63288"/>
    <w:rsid w:val="00F63C63"/>
    <w:rsid w:val="00F6403B"/>
    <w:rsid w:val="00F6419F"/>
    <w:rsid w:val="00F6474F"/>
    <w:rsid w:val="00F64E5A"/>
    <w:rsid w:val="00F6549B"/>
    <w:rsid w:val="00F65507"/>
    <w:rsid w:val="00F65805"/>
    <w:rsid w:val="00F65C18"/>
    <w:rsid w:val="00F65E7A"/>
    <w:rsid w:val="00F66506"/>
    <w:rsid w:val="00F666C0"/>
    <w:rsid w:val="00F6679D"/>
    <w:rsid w:val="00F669A8"/>
    <w:rsid w:val="00F67441"/>
    <w:rsid w:val="00F67E21"/>
    <w:rsid w:val="00F701B2"/>
    <w:rsid w:val="00F701FB"/>
    <w:rsid w:val="00F706E5"/>
    <w:rsid w:val="00F70722"/>
    <w:rsid w:val="00F70BCE"/>
    <w:rsid w:val="00F717C3"/>
    <w:rsid w:val="00F71B31"/>
    <w:rsid w:val="00F71D1A"/>
    <w:rsid w:val="00F727DB"/>
    <w:rsid w:val="00F727DD"/>
    <w:rsid w:val="00F72926"/>
    <w:rsid w:val="00F72B21"/>
    <w:rsid w:val="00F7307D"/>
    <w:rsid w:val="00F73DD6"/>
    <w:rsid w:val="00F73FC1"/>
    <w:rsid w:val="00F740C1"/>
    <w:rsid w:val="00F759FE"/>
    <w:rsid w:val="00F75A74"/>
    <w:rsid w:val="00F763FF"/>
    <w:rsid w:val="00F76BBB"/>
    <w:rsid w:val="00F76F9C"/>
    <w:rsid w:val="00F77D38"/>
    <w:rsid w:val="00F77F44"/>
    <w:rsid w:val="00F8050F"/>
    <w:rsid w:val="00F81287"/>
    <w:rsid w:val="00F81294"/>
    <w:rsid w:val="00F818FC"/>
    <w:rsid w:val="00F8213F"/>
    <w:rsid w:val="00F822ED"/>
    <w:rsid w:val="00F83024"/>
    <w:rsid w:val="00F83169"/>
    <w:rsid w:val="00F831F9"/>
    <w:rsid w:val="00F83AF3"/>
    <w:rsid w:val="00F8421C"/>
    <w:rsid w:val="00F84503"/>
    <w:rsid w:val="00F84C65"/>
    <w:rsid w:val="00F84EF5"/>
    <w:rsid w:val="00F85516"/>
    <w:rsid w:val="00F8553A"/>
    <w:rsid w:val="00F85637"/>
    <w:rsid w:val="00F8564F"/>
    <w:rsid w:val="00F8575B"/>
    <w:rsid w:val="00F85888"/>
    <w:rsid w:val="00F85924"/>
    <w:rsid w:val="00F8676C"/>
    <w:rsid w:val="00F86B6F"/>
    <w:rsid w:val="00F87216"/>
    <w:rsid w:val="00F87F4C"/>
    <w:rsid w:val="00F9012B"/>
    <w:rsid w:val="00F90D49"/>
    <w:rsid w:val="00F90E1F"/>
    <w:rsid w:val="00F91673"/>
    <w:rsid w:val="00F917C4"/>
    <w:rsid w:val="00F91F3B"/>
    <w:rsid w:val="00F92690"/>
    <w:rsid w:val="00F92FB7"/>
    <w:rsid w:val="00F93106"/>
    <w:rsid w:val="00F939DE"/>
    <w:rsid w:val="00F93BC6"/>
    <w:rsid w:val="00F93D1C"/>
    <w:rsid w:val="00F94414"/>
    <w:rsid w:val="00F94BE6"/>
    <w:rsid w:val="00F94EF1"/>
    <w:rsid w:val="00F957B0"/>
    <w:rsid w:val="00F95E49"/>
    <w:rsid w:val="00F95EBA"/>
    <w:rsid w:val="00F96182"/>
    <w:rsid w:val="00F9640E"/>
    <w:rsid w:val="00F96BF0"/>
    <w:rsid w:val="00F96E45"/>
    <w:rsid w:val="00F972C7"/>
    <w:rsid w:val="00F974D9"/>
    <w:rsid w:val="00F97728"/>
    <w:rsid w:val="00FA007C"/>
    <w:rsid w:val="00FA0127"/>
    <w:rsid w:val="00FA11CC"/>
    <w:rsid w:val="00FA15A8"/>
    <w:rsid w:val="00FA1672"/>
    <w:rsid w:val="00FA16DA"/>
    <w:rsid w:val="00FA2913"/>
    <w:rsid w:val="00FA2966"/>
    <w:rsid w:val="00FA2A87"/>
    <w:rsid w:val="00FA2AC0"/>
    <w:rsid w:val="00FA2CBE"/>
    <w:rsid w:val="00FA3128"/>
    <w:rsid w:val="00FA3476"/>
    <w:rsid w:val="00FA4487"/>
    <w:rsid w:val="00FA465D"/>
    <w:rsid w:val="00FA4808"/>
    <w:rsid w:val="00FA4F7A"/>
    <w:rsid w:val="00FA5031"/>
    <w:rsid w:val="00FA5AA7"/>
    <w:rsid w:val="00FA5ECD"/>
    <w:rsid w:val="00FA60C3"/>
    <w:rsid w:val="00FA6267"/>
    <w:rsid w:val="00FA66ED"/>
    <w:rsid w:val="00FA6BE9"/>
    <w:rsid w:val="00FA6C57"/>
    <w:rsid w:val="00FA6DE0"/>
    <w:rsid w:val="00FA71A4"/>
    <w:rsid w:val="00FA7394"/>
    <w:rsid w:val="00FA77BE"/>
    <w:rsid w:val="00FA7833"/>
    <w:rsid w:val="00FB0310"/>
    <w:rsid w:val="00FB09A3"/>
    <w:rsid w:val="00FB157A"/>
    <w:rsid w:val="00FB1B5A"/>
    <w:rsid w:val="00FB1C71"/>
    <w:rsid w:val="00FB2417"/>
    <w:rsid w:val="00FB2505"/>
    <w:rsid w:val="00FB2BD9"/>
    <w:rsid w:val="00FB324E"/>
    <w:rsid w:val="00FB329E"/>
    <w:rsid w:val="00FB392B"/>
    <w:rsid w:val="00FB3DD9"/>
    <w:rsid w:val="00FB4145"/>
    <w:rsid w:val="00FB4238"/>
    <w:rsid w:val="00FB4A14"/>
    <w:rsid w:val="00FB5775"/>
    <w:rsid w:val="00FB7C00"/>
    <w:rsid w:val="00FC038F"/>
    <w:rsid w:val="00FC0F6F"/>
    <w:rsid w:val="00FC1664"/>
    <w:rsid w:val="00FC1E57"/>
    <w:rsid w:val="00FC1FC4"/>
    <w:rsid w:val="00FC312B"/>
    <w:rsid w:val="00FC344A"/>
    <w:rsid w:val="00FC39AC"/>
    <w:rsid w:val="00FC3F42"/>
    <w:rsid w:val="00FC49DB"/>
    <w:rsid w:val="00FC4B84"/>
    <w:rsid w:val="00FC4E85"/>
    <w:rsid w:val="00FC5390"/>
    <w:rsid w:val="00FC60B7"/>
    <w:rsid w:val="00FC65B2"/>
    <w:rsid w:val="00FC65EB"/>
    <w:rsid w:val="00FC6623"/>
    <w:rsid w:val="00FC6E2A"/>
    <w:rsid w:val="00FC7318"/>
    <w:rsid w:val="00FD01B5"/>
    <w:rsid w:val="00FD0567"/>
    <w:rsid w:val="00FD0714"/>
    <w:rsid w:val="00FD0D76"/>
    <w:rsid w:val="00FD17D4"/>
    <w:rsid w:val="00FD23E9"/>
    <w:rsid w:val="00FD246F"/>
    <w:rsid w:val="00FD3577"/>
    <w:rsid w:val="00FD365B"/>
    <w:rsid w:val="00FD4241"/>
    <w:rsid w:val="00FD4266"/>
    <w:rsid w:val="00FD47AE"/>
    <w:rsid w:val="00FD4B02"/>
    <w:rsid w:val="00FD4BE1"/>
    <w:rsid w:val="00FD4E8E"/>
    <w:rsid w:val="00FD50B8"/>
    <w:rsid w:val="00FD524B"/>
    <w:rsid w:val="00FD53B2"/>
    <w:rsid w:val="00FD5CEE"/>
    <w:rsid w:val="00FD5E25"/>
    <w:rsid w:val="00FD6147"/>
    <w:rsid w:val="00FD617D"/>
    <w:rsid w:val="00FD642E"/>
    <w:rsid w:val="00FD69C8"/>
    <w:rsid w:val="00FD6B93"/>
    <w:rsid w:val="00FD6FAB"/>
    <w:rsid w:val="00FD6FF7"/>
    <w:rsid w:val="00FD7430"/>
    <w:rsid w:val="00FD7614"/>
    <w:rsid w:val="00FD79D2"/>
    <w:rsid w:val="00FD7A77"/>
    <w:rsid w:val="00FD7B5B"/>
    <w:rsid w:val="00FD7F51"/>
    <w:rsid w:val="00FE014B"/>
    <w:rsid w:val="00FE01F0"/>
    <w:rsid w:val="00FE04A6"/>
    <w:rsid w:val="00FE05B6"/>
    <w:rsid w:val="00FE0A66"/>
    <w:rsid w:val="00FE0AE4"/>
    <w:rsid w:val="00FE126C"/>
    <w:rsid w:val="00FE12C2"/>
    <w:rsid w:val="00FE17AB"/>
    <w:rsid w:val="00FE1A0A"/>
    <w:rsid w:val="00FE1B98"/>
    <w:rsid w:val="00FE1F3F"/>
    <w:rsid w:val="00FE279E"/>
    <w:rsid w:val="00FE2C1D"/>
    <w:rsid w:val="00FE3252"/>
    <w:rsid w:val="00FE33C5"/>
    <w:rsid w:val="00FE363A"/>
    <w:rsid w:val="00FE4264"/>
    <w:rsid w:val="00FE435D"/>
    <w:rsid w:val="00FE4416"/>
    <w:rsid w:val="00FE4575"/>
    <w:rsid w:val="00FE4DBF"/>
    <w:rsid w:val="00FE530A"/>
    <w:rsid w:val="00FE5520"/>
    <w:rsid w:val="00FE5AC1"/>
    <w:rsid w:val="00FE5FBF"/>
    <w:rsid w:val="00FE6287"/>
    <w:rsid w:val="00FE69F9"/>
    <w:rsid w:val="00FE6B33"/>
    <w:rsid w:val="00FE6E2A"/>
    <w:rsid w:val="00FE7448"/>
    <w:rsid w:val="00FE784A"/>
    <w:rsid w:val="00FE7CDA"/>
    <w:rsid w:val="00FF02DD"/>
    <w:rsid w:val="00FF0765"/>
    <w:rsid w:val="00FF0981"/>
    <w:rsid w:val="00FF175F"/>
    <w:rsid w:val="00FF190F"/>
    <w:rsid w:val="00FF198D"/>
    <w:rsid w:val="00FF1AC2"/>
    <w:rsid w:val="00FF1C01"/>
    <w:rsid w:val="00FF2153"/>
    <w:rsid w:val="00FF2497"/>
    <w:rsid w:val="00FF35D5"/>
    <w:rsid w:val="00FF3668"/>
    <w:rsid w:val="00FF38C0"/>
    <w:rsid w:val="00FF3939"/>
    <w:rsid w:val="00FF4493"/>
    <w:rsid w:val="00FF4AAE"/>
    <w:rsid w:val="00FF4B6C"/>
    <w:rsid w:val="00FF5A04"/>
    <w:rsid w:val="00FF5F09"/>
    <w:rsid w:val="00FF6047"/>
    <w:rsid w:val="00FF6AD4"/>
    <w:rsid w:val="00FF7173"/>
    <w:rsid w:val="00FF72C4"/>
    <w:rsid w:val="00FF72F1"/>
    <w:rsid w:val="00FF7AF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A87A6"/>
  <w15:chartTrackingRefBased/>
  <w15:docId w15:val="{402E1DC3-AD15-4A1B-913B-86A4715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0B7B0D"/>
    <w:pPr>
      <w:spacing w:after="0" w:line="360" w:lineRule="auto"/>
      <w:ind w:firstLine="709"/>
      <w:jc w:val="both"/>
    </w:pPr>
    <w:rPr>
      <w:rFonts w:ascii="Times New Roman" w:hAnsi="Times New Roman" w:cs="Times New Roman"/>
      <w:color w:val="222222"/>
      <w:sz w:val="24"/>
      <w:szCs w:val="24"/>
      <w:shd w:val="clear" w:color="auto" w:fill="FFFFFF"/>
    </w:rPr>
  </w:style>
  <w:style w:type="paragraph" w:styleId="Ttulo1">
    <w:name w:val="heading 1"/>
    <w:aliases w:val="Seção primária"/>
    <w:basedOn w:val="Normal"/>
    <w:next w:val="Normal"/>
    <w:link w:val="Ttulo1Char"/>
    <w:uiPriority w:val="9"/>
    <w:qFormat/>
    <w:rsid w:val="00242C9C"/>
    <w:pPr>
      <w:ind w:firstLine="0"/>
      <w:outlineLvl w:val="0"/>
    </w:pPr>
    <w:rPr>
      <w:b/>
      <w:caps/>
    </w:rPr>
  </w:style>
  <w:style w:type="paragraph" w:styleId="Ttulo2">
    <w:name w:val="heading 2"/>
    <w:aliases w:val="Seção secundária"/>
    <w:basedOn w:val="Normal"/>
    <w:next w:val="Normal"/>
    <w:link w:val="Ttulo2Char"/>
    <w:uiPriority w:val="9"/>
    <w:unhideWhenUsed/>
    <w:qFormat/>
    <w:rsid w:val="00240CE4"/>
    <w:pPr>
      <w:ind w:firstLine="0"/>
      <w:outlineLvl w:val="1"/>
    </w:pPr>
    <w:rPr>
      <w:b/>
    </w:rPr>
  </w:style>
  <w:style w:type="paragraph" w:styleId="Ttulo3">
    <w:name w:val="heading 3"/>
    <w:aliases w:val="Seção terciária"/>
    <w:basedOn w:val="Normal"/>
    <w:next w:val="Normal"/>
    <w:link w:val="Ttulo3Char"/>
    <w:uiPriority w:val="9"/>
    <w:unhideWhenUsed/>
    <w:qFormat/>
    <w:rsid w:val="00997362"/>
    <w:pPr>
      <w:ind w:firstLine="0"/>
      <w:outlineLvl w:val="2"/>
    </w:pPr>
  </w:style>
  <w:style w:type="paragraph" w:styleId="Ttulo4">
    <w:name w:val="heading 4"/>
    <w:aliases w:val="Nota de Rodapé"/>
    <w:basedOn w:val="Textodenotaderodap"/>
    <w:next w:val="Normal"/>
    <w:link w:val="Ttulo4Char"/>
    <w:uiPriority w:val="9"/>
    <w:unhideWhenUsed/>
    <w:qFormat/>
    <w:rsid w:val="007E039C"/>
    <w:pPr>
      <w:ind w:firstLine="0"/>
      <w:outlineLvl w:val="3"/>
    </w:pPr>
    <w:rPr>
      <w:rFonts w:ascii="Times New Roman" w:hAnsi="Times New Roman"/>
    </w:rPr>
  </w:style>
  <w:style w:type="paragraph" w:styleId="Ttulo5">
    <w:name w:val="heading 5"/>
    <w:aliases w:val="Referências"/>
    <w:basedOn w:val="Normal"/>
    <w:next w:val="Normal"/>
    <w:link w:val="Ttulo5Char"/>
    <w:uiPriority w:val="9"/>
    <w:semiHidden/>
    <w:unhideWhenUsed/>
    <w:qFormat/>
    <w:rsid w:val="00D85340"/>
    <w:pPr>
      <w:keepNext/>
      <w:keepLines/>
      <w:spacing w:before="100" w:beforeAutospacing="1" w:line="240" w:lineRule="auto"/>
      <w:ind w:firstLine="0"/>
      <w:jc w:val="left"/>
      <w:outlineLvl w:val="4"/>
    </w:pPr>
    <w:rPr>
      <w:rFonts w:eastAsiaTheme="majorEastAsia" w:cstheme="majorBidi"/>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7715"/>
    <w:pPr>
      <w:ind w:left="720"/>
      <w:contextualSpacing/>
    </w:pPr>
  </w:style>
  <w:style w:type="character" w:styleId="Hyperlink">
    <w:name w:val="Hyperlink"/>
    <w:basedOn w:val="Fontepargpadro"/>
    <w:uiPriority w:val="99"/>
    <w:unhideWhenUsed/>
    <w:rsid w:val="007A528D"/>
    <w:rPr>
      <w:color w:val="0563C1" w:themeColor="hyperlink"/>
      <w:u w:val="single"/>
    </w:rPr>
  </w:style>
  <w:style w:type="character" w:styleId="MenoPendente">
    <w:name w:val="Unresolved Mention"/>
    <w:basedOn w:val="Fontepargpadro"/>
    <w:uiPriority w:val="99"/>
    <w:semiHidden/>
    <w:unhideWhenUsed/>
    <w:rsid w:val="007A528D"/>
    <w:rPr>
      <w:color w:val="808080"/>
      <w:shd w:val="clear" w:color="auto" w:fill="E6E6E6"/>
    </w:rPr>
  </w:style>
  <w:style w:type="paragraph" w:styleId="Bibliografia">
    <w:name w:val="Bibliography"/>
    <w:basedOn w:val="Normal"/>
    <w:next w:val="Normal"/>
    <w:uiPriority w:val="37"/>
    <w:unhideWhenUsed/>
    <w:rsid w:val="00B54AAA"/>
    <w:pPr>
      <w:spacing w:after="200" w:line="276" w:lineRule="auto"/>
    </w:pPr>
  </w:style>
  <w:style w:type="paragraph" w:styleId="Textodenotaderodap">
    <w:name w:val="footnote text"/>
    <w:basedOn w:val="Normal"/>
    <w:link w:val="TextodenotaderodapChar"/>
    <w:uiPriority w:val="99"/>
    <w:unhideWhenUsed/>
    <w:rsid w:val="00040A55"/>
    <w:pPr>
      <w:spacing w:line="240" w:lineRule="auto"/>
    </w:pPr>
    <w:rPr>
      <w:rFonts w:ascii="Calibri" w:eastAsia="Calibri" w:hAnsi="Calibri"/>
      <w:sz w:val="20"/>
      <w:szCs w:val="20"/>
    </w:rPr>
  </w:style>
  <w:style w:type="character" w:customStyle="1" w:styleId="TextodenotaderodapChar">
    <w:name w:val="Texto de nota de rodapé Char"/>
    <w:basedOn w:val="Fontepargpadro"/>
    <w:link w:val="Textodenotaderodap"/>
    <w:uiPriority w:val="99"/>
    <w:rsid w:val="00040A55"/>
    <w:rPr>
      <w:rFonts w:ascii="Calibri" w:eastAsia="Calibri" w:hAnsi="Calibri" w:cs="Times New Roman"/>
      <w:sz w:val="20"/>
      <w:szCs w:val="20"/>
    </w:rPr>
  </w:style>
  <w:style w:type="character" w:styleId="Refdenotaderodap">
    <w:name w:val="footnote reference"/>
    <w:basedOn w:val="Fontepargpadro"/>
    <w:uiPriority w:val="99"/>
    <w:semiHidden/>
    <w:unhideWhenUsed/>
    <w:rsid w:val="00040A55"/>
    <w:rPr>
      <w:vertAlign w:val="superscript"/>
    </w:rPr>
  </w:style>
  <w:style w:type="paragraph" w:styleId="Cabealho">
    <w:name w:val="header"/>
    <w:basedOn w:val="Normal"/>
    <w:link w:val="CabealhoChar"/>
    <w:uiPriority w:val="99"/>
    <w:unhideWhenUsed/>
    <w:rsid w:val="00C41FAA"/>
    <w:pPr>
      <w:tabs>
        <w:tab w:val="center" w:pos="4252"/>
        <w:tab w:val="right" w:pos="8504"/>
      </w:tabs>
      <w:spacing w:line="240" w:lineRule="auto"/>
    </w:pPr>
  </w:style>
  <w:style w:type="character" w:customStyle="1" w:styleId="CabealhoChar">
    <w:name w:val="Cabeçalho Char"/>
    <w:basedOn w:val="Fontepargpadro"/>
    <w:link w:val="Cabealho"/>
    <w:uiPriority w:val="99"/>
    <w:rsid w:val="00C41FAA"/>
  </w:style>
  <w:style w:type="paragraph" w:styleId="Rodap">
    <w:name w:val="footer"/>
    <w:basedOn w:val="Normal"/>
    <w:link w:val="RodapChar"/>
    <w:uiPriority w:val="99"/>
    <w:unhideWhenUsed/>
    <w:rsid w:val="00C41FAA"/>
    <w:pPr>
      <w:tabs>
        <w:tab w:val="center" w:pos="4252"/>
        <w:tab w:val="right" w:pos="8504"/>
      </w:tabs>
      <w:spacing w:line="240" w:lineRule="auto"/>
    </w:pPr>
  </w:style>
  <w:style w:type="character" w:customStyle="1" w:styleId="RodapChar">
    <w:name w:val="Rodapé Char"/>
    <w:basedOn w:val="Fontepargpadro"/>
    <w:link w:val="Rodap"/>
    <w:uiPriority w:val="99"/>
    <w:rsid w:val="00C41FAA"/>
  </w:style>
  <w:style w:type="paragraph" w:styleId="Textodebalo">
    <w:name w:val="Balloon Text"/>
    <w:basedOn w:val="Normal"/>
    <w:link w:val="TextodebaloChar"/>
    <w:uiPriority w:val="99"/>
    <w:semiHidden/>
    <w:unhideWhenUsed/>
    <w:rsid w:val="00A2671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671E"/>
    <w:rPr>
      <w:rFonts w:ascii="Segoe UI" w:hAnsi="Segoe UI" w:cs="Segoe UI"/>
      <w:sz w:val="18"/>
      <w:szCs w:val="18"/>
    </w:rPr>
  </w:style>
  <w:style w:type="character" w:styleId="Refdecomentrio">
    <w:name w:val="annotation reference"/>
    <w:basedOn w:val="Fontepargpadro"/>
    <w:uiPriority w:val="99"/>
    <w:semiHidden/>
    <w:unhideWhenUsed/>
    <w:rsid w:val="00A2671E"/>
    <w:rPr>
      <w:sz w:val="16"/>
      <w:szCs w:val="16"/>
    </w:rPr>
  </w:style>
  <w:style w:type="paragraph" w:styleId="Textodecomentrio">
    <w:name w:val="annotation text"/>
    <w:basedOn w:val="Normal"/>
    <w:link w:val="TextodecomentrioChar"/>
    <w:uiPriority w:val="99"/>
    <w:semiHidden/>
    <w:unhideWhenUsed/>
    <w:rsid w:val="00A267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2671E"/>
    <w:rPr>
      <w:sz w:val="20"/>
      <w:szCs w:val="20"/>
    </w:rPr>
  </w:style>
  <w:style w:type="paragraph" w:styleId="Assuntodocomentrio">
    <w:name w:val="annotation subject"/>
    <w:basedOn w:val="Textodecomentrio"/>
    <w:next w:val="Textodecomentrio"/>
    <w:link w:val="AssuntodocomentrioChar"/>
    <w:uiPriority w:val="99"/>
    <w:semiHidden/>
    <w:unhideWhenUsed/>
    <w:rsid w:val="00A2671E"/>
    <w:rPr>
      <w:b/>
      <w:bCs/>
    </w:rPr>
  </w:style>
  <w:style w:type="character" w:customStyle="1" w:styleId="AssuntodocomentrioChar">
    <w:name w:val="Assunto do comentário Char"/>
    <w:basedOn w:val="TextodecomentrioChar"/>
    <w:link w:val="Assuntodocomentrio"/>
    <w:uiPriority w:val="99"/>
    <w:semiHidden/>
    <w:rsid w:val="00A2671E"/>
    <w:rPr>
      <w:b/>
      <w:bCs/>
      <w:sz w:val="20"/>
      <w:szCs w:val="20"/>
    </w:rPr>
  </w:style>
  <w:style w:type="character" w:customStyle="1" w:styleId="Ttulo1Char">
    <w:name w:val="Título 1 Char"/>
    <w:aliases w:val="Seção primária Char"/>
    <w:basedOn w:val="Fontepargpadro"/>
    <w:link w:val="Ttulo1"/>
    <w:uiPriority w:val="9"/>
    <w:rsid w:val="00242C9C"/>
    <w:rPr>
      <w:rFonts w:ascii="Times New Roman" w:hAnsi="Times New Roman" w:cs="Times New Roman"/>
      <w:b/>
      <w:caps/>
      <w:color w:val="222222"/>
      <w:sz w:val="24"/>
      <w:szCs w:val="24"/>
    </w:rPr>
  </w:style>
  <w:style w:type="paragraph" w:styleId="CabealhodoSumrio">
    <w:name w:val="TOC Heading"/>
    <w:basedOn w:val="Ttulo1"/>
    <w:next w:val="Normal"/>
    <w:uiPriority w:val="39"/>
    <w:unhideWhenUsed/>
    <w:qFormat/>
    <w:rsid w:val="008C170C"/>
    <w:pPr>
      <w:contextualSpacing/>
      <w:outlineLvl w:val="9"/>
    </w:pPr>
    <w:rPr>
      <w:lang w:eastAsia="pt-BR"/>
    </w:rPr>
  </w:style>
  <w:style w:type="character" w:customStyle="1" w:styleId="Ttulo2Char">
    <w:name w:val="Título 2 Char"/>
    <w:aliases w:val="Seção secundária Char"/>
    <w:basedOn w:val="Fontepargpadro"/>
    <w:link w:val="Ttulo2"/>
    <w:uiPriority w:val="9"/>
    <w:rsid w:val="00240CE4"/>
    <w:rPr>
      <w:rFonts w:ascii="Times New Roman" w:hAnsi="Times New Roman" w:cs="Times New Roman"/>
      <w:b/>
      <w:color w:val="222222"/>
      <w:sz w:val="24"/>
      <w:szCs w:val="24"/>
    </w:rPr>
  </w:style>
  <w:style w:type="paragraph" w:styleId="Sumrio1">
    <w:name w:val="toc 1"/>
    <w:basedOn w:val="Normal"/>
    <w:next w:val="Normal"/>
    <w:autoRedefine/>
    <w:uiPriority w:val="39"/>
    <w:unhideWhenUsed/>
    <w:rsid w:val="001D6B4B"/>
    <w:pPr>
      <w:tabs>
        <w:tab w:val="right" w:leader="dot" w:pos="9061"/>
      </w:tabs>
      <w:spacing w:after="100"/>
    </w:pPr>
    <w:rPr>
      <w:b/>
      <w:noProof/>
    </w:rPr>
  </w:style>
  <w:style w:type="paragraph" w:styleId="Commarcadores">
    <w:name w:val="List Bullet"/>
    <w:basedOn w:val="Normal"/>
    <w:uiPriority w:val="99"/>
    <w:unhideWhenUsed/>
    <w:rsid w:val="00A910F8"/>
    <w:pPr>
      <w:numPr>
        <w:numId w:val="15"/>
      </w:numPr>
      <w:contextualSpacing/>
    </w:pPr>
  </w:style>
  <w:style w:type="paragraph" w:styleId="Textodenotadefim">
    <w:name w:val="endnote text"/>
    <w:basedOn w:val="Normal"/>
    <w:link w:val="TextodenotadefimChar"/>
    <w:uiPriority w:val="99"/>
    <w:semiHidden/>
    <w:unhideWhenUsed/>
    <w:rsid w:val="00A910F8"/>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A910F8"/>
    <w:rPr>
      <w:sz w:val="20"/>
      <w:szCs w:val="20"/>
    </w:rPr>
  </w:style>
  <w:style w:type="character" w:styleId="Refdenotadefim">
    <w:name w:val="endnote reference"/>
    <w:basedOn w:val="Fontepargpadro"/>
    <w:uiPriority w:val="99"/>
    <w:semiHidden/>
    <w:unhideWhenUsed/>
    <w:rsid w:val="00A910F8"/>
    <w:rPr>
      <w:vertAlign w:val="superscript"/>
    </w:rPr>
  </w:style>
  <w:style w:type="paragraph" w:styleId="Sumrio2">
    <w:name w:val="toc 2"/>
    <w:basedOn w:val="Normal"/>
    <w:next w:val="Normal"/>
    <w:autoRedefine/>
    <w:uiPriority w:val="39"/>
    <w:unhideWhenUsed/>
    <w:rsid w:val="00362B56"/>
    <w:pPr>
      <w:tabs>
        <w:tab w:val="right" w:leader="dot" w:pos="9061"/>
      </w:tabs>
      <w:spacing w:after="100"/>
      <w:ind w:left="220"/>
    </w:pPr>
    <w:rPr>
      <w:rFonts w:eastAsiaTheme="minorEastAsia"/>
      <w:b/>
      <w:noProof/>
      <w:lang w:eastAsia="pt-BR"/>
    </w:rPr>
  </w:style>
  <w:style w:type="paragraph" w:styleId="Sumrio3">
    <w:name w:val="toc 3"/>
    <w:basedOn w:val="Normal"/>
    <w:next w:val="Normal"/>
    <w:autoRedefine/>
    <w:uiPriority w:val="39"/>
    <w:unhideWhenUsed/>
    <w:rsid w:val="00923830"/>
    <w:pPr>
      <w:spacing w:after="100"/>
      <w:ind w:left="440"/>
    </w:pPr>
    <w:rPr>
      <w:rFonts w:eastAsiaTheme="minorEastAsia"/>
      <w:lang w:eastAsia="pt-BR"/>
    </w:rPr>
  </w:style>
  <w:style w:type="character" w:customStyle="1" w:styleId="Ttulo3Char">
    <w:name w:val="Título 3 Char"/>
    <w:aliases w:val="Seção terciária Char"/>
    <w:basedOn w:val="Fontepargpadro"/>
    <w:link w:val="Ttulo3"/>
    <w:uiPriority w:val="9"/>
    <w:rsid w:val="00997362"/>
    <w:rPr>
      <w:rFonts w:ascii="Times New Roman" w:hAnsi="Times New Roman" w:cs="Times New Roman"/>
      <w:color w:val="222222"/>
      <w:sz w:val="24"/>
      <w:szCs w:val="24"/>
    </w:rPr>
  </w:style>
  <w:style w:type="character" w:customStyle="1" w:styleId="Ttulo4Char">
    <w:name w:val="Título 4 Char"/>
    <w:aliases w:val="Nota de Rodapé Char"/>
    <w:basedOn w:val="Fontepargpadro"/>
    <w:link w:val="Ttulo4"/>
    <w:uiPriority w:val="9"/>
    <w:rsid w:val="007E039C"/>
    <w:rPr>
      <w:rFonts w:ascii="Times New Roman" w:eastAsia="Calibri" w:hAnsi="Times New Roman" w:cs="Times New Roman"/>
      <w:color w:val="222222"/>
      <w:sz w:val="20"/>
      <w:szCs w:val="20"/>
    </w:rPr>
  </w:style>
  <w:style w:type="paragraph" w:styleId="SemEspaamento">
    <w:name w:val="No Spacing"/>
    <w:aliases w:val="Citação longa"/>
    <w:basedOn w:val="Normal"/>
    <w:uiPriority w:val="1"/>
    <w:qFormat/>
    <w:rsid w:val="00E764F0"/>
    <w:pPr>
      <w:spacing w:after="120" w:line="240" w:lineRule="auto"/>
      <w:ind w:left="2268" w:firstLine="0"/>
    </w:pPr>
    <w:rPr>
      <w:sz w:val="20"/>
    </w:rPr>
  </w:style>
  <w:style w:type="character" w:customStyle="1" w:styleId="Ttulo5Char">
    <w:name w:val="Título 5 Char"/>
    <w:aliases w:val="Referências Char"/>
    <w:basedOn w:val="Fontepargpadro"/>
    <w:link w:val="Ttulo5"/>
    <w:uiPriority w:val="9"/>
    <w:semiHidden/>
    <w:rsid w:val="00D85340"/>
    <w:rPr>
      <w:rFonts w:ascii="Times New Roman" w:eastAsiaTheme="majorEastAsia" w:hAnsi="Times New Roman" w:cstheme="majorBidi"/>
      <w:sz w:val="24"/>
      <w:szCs w:val="24"/>
    </w:rPr>
  </w:style>
  <w:style w:type="character" w:styleId="nfase">
    <w:name w:val="Emphasis"/>
    <w:basedOn w:val="Fontepargpadro"/>
    <w:uiPriority w:val="20"/>
    <w:qFormat/>
    <w:rsid w:val="00E52F91"/>
    <w:rPr>
      <w:i/>
      <w:iCs/>
    </w:rPr>
  </w:style>
  <w:style w:type="character" w:styleId="HiperlinkVisitado">
    <w:name w:val="FollowedHyperlink"/>
    <w:basedOn w:val="Fontepargpadro"/>
    <w:uiPriority w:val="99"/>
    <w:semiHidden/>
    <w:unhideWhenUsed/>
    <w:rsid w:val="00605AC5"/>
    <w:rPr>
      <w:color w:val="954F72" w:themeColor="followedHyperlink"/>
      <w:u w:val="single"/>
    </w:rPr>
  </w:style>
  <w:style w:type="paragraph" w:customStyle="1" w:styleId="Estilo">
    <w:name w:val="Estilo"/>
    <w:rsid w:val="00C327CD"/>
    <w:pPr>
      <w:widowControl w:val="0"/>
      <w:suppressAutoHyphens/>
      <w:autoSpaceDE w:val="0"/>
      <w:spacing w:after="0" w:line="240" w:lineRule="auto"/>
    </w:pPr>
    <w:rPr>
      <w:rFonts w:ascii="Times New Roman" w:eastAsia="Arial" w:hAnsi="Times New Roman" w:cs="Times New Roman"/>
      <w:sz w:val="24"/>
      <w:szCs w:val="24"/>
      <w:lang w:val="en-US" w:eastAsia="ar-SA"/>
    </w:rPr>
  </w:style>
  <w:style w:type="paragraph" w:styleId="Subttulo">
    <w:name w:val="Subtitle"/>
    <w:aliases w:val="Fonte"/>
    <w:basedOn w:val="Ttulo4"/>
    <w:next w:val="Normal"/>
    <w:link w:val="SubttuloChar"/>
    <w:uiPriority w:val="11"/>
    <w:qFormat/>
    <w:rsid w:val="00726D57"/>
    <w:pPr>
      <w:spacing w:line="360" w:lineRule="auto"/>
      <w:jc w:val="left"/>
    </w:pPr>
    <w:rPr>
      <w:sz w:val="18"/>
    </w:rPr>
  </w:style>
  <w:style w:type="character" w:customStyle="1" w:styleId="SubttuloChar">
    <w:name w:val="Subtítulo Char"/>
    <w:aliases w:val="Fonte Char"/>
    <w:basedOn w:val="Fontepargpadro"/>
    <w:link w:val="Subttulo"/>
    <w:uiPriority w:val="11"/>
    <w:rsid w:val="00726D57"/>
    <w:rPr>
      <w:rFonts w:ascii="Times New Roman" w:eastAsia="Calibri" w:hAnsi="Times New Roman" w:cs="Times New Roman"/>
      <w:color w:val="22222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244">
      <w:bodyDiv w:val="1"/>
      <w:marLeft w:val="0"/>
      <w:marRight w:val="0"/>
      <w:marTop w:val="0"/>
      <w:marBottom w:val="0"/>
      <w:divBdr>
        <w:top w:val="none" w:sz="0" w:space="0" w:color="auto"/>
        <w:left w:val="none" w:sz="0" w:space="0" w:color="auto"/>
        <w:bottom w:val="none" w:sz="0" w:space="0" w:color="auto"/>
        <w:right w:val="none" w:sz="0" w:space="0" w:color="auto"/>
      </w:divBdr>
    </w:div>
    <w:div w:id="45690205">
      <w:bodyDiv w:val="1"/>
      <w:marLeft w:val="0"/>
      <w:marRight w:val="0"/>
      <w:marTop w:val="0"/>
      <w:marBottom w:val="0"/>
      <w:divBdr>
        <w:top w:val="none" w:sz="0" w:space="0" w:color="auto"/>
        <w:left w:val="none" w:sz="0" w:space="0" w:color="auto"/>
        <w:bottom w:val="none" w:sz="0" w:space="0" w:color="auto"/>
        <w:right w:val="none" w:sz="0" w:space="0" w:color="auto"/>
      </w:divBdr>
    </w:div>
    <w:div w:id="109662994">
      <w:bodyDiv w:val="1"/>
      <w:marLeft w:val="0"/>
      <w:marRight w:val="0"/>
      <w:marTop w:val="0"/>
      <w:marBottom w:val="0"/>
      <w:divBdr>
        <w:top w:val="none" w:sz="0" w:space="0" w:color="auto"/>
        <w:left w:val="none" w:sz="0" w:space="0" w:color="auto"/>
        <w:bottom w:val="none" w:sz="0" w:space="0" w:color="auto"/>
        <w:right w:val="none" w:sz="0" w:space="0" w:color="auto"/>
      </w:divBdr>
    </w:div>
    <w:div w:id="252512590">
      <w:bodyDiv w:val="1"/>
      <w:marLeft w:val="0"/>
      <w:marRight w:val="0"/>
      <w:marTop w:val="0"/>
      <w:marBottom w:val="0"/>
      <w:divBdr>
        <w:top w:val="none" w:sz="0" w:space="0" w:color="auto"/>
        <w:left w:val="none" w:sz="0" w:space="0" w:color="auto"/>
        <w:bottom w:val="none" w:sz="0" w:space="0" w:color="auto"/>
        <w:right w:val="none" w:sz="0" w:space="0" w:color="auto"/>
      </w:divBdr>
      <w:divsChild>
        <w:div w:id="708578158">
          <w:marLeft w:val="0"/>
          <w:marRight w:val="0"/>
          <w:marTop w:val="0"/>
          <w:marBottom w:val="0"/>
          <w:divBdr>
            <w:top w:val="none" w:sz="0" w:space="0" w:color="auto"/>
            <w:left w:val="none" w:sz="0" w:space="0" w:color="auto"/>
            <w:bottom w:val="none" w:sz="0" w:space="0" w:color="auto"/>
            <w:right w:val="none" w:sz="0" w:space="0" w:color="auto"/>
          </w:divBdr>
        </w:div>
      </w:divsChild>
    </w:div>
    <w:div w:id="390348963">
      <w:bodyDiv w:val="1"/>
      <w:marLeft w:val="0"/>
      <w:marRight w:val="0"/>
      <w:marTop w:val="0"/>
      <w:marBottom w:val="0"/>
      <w:divBdr>
        <w:top w:val="none" w:sz="0" w:space="0" w:color="auto"/>
        <w:left w:val="none" w:sz="0" w:space="0" w:color="auto"/>
        <w:bottom w:val="none" w:sz="0" w:space="0" w:color="auto"/>
        <w:right w:val="none" w:sz="0" w:space="0" w:color="auto"/>
      </w:divBdr>
    </w:div>
    <w:div w:id="753092344">
      <w:bodyDiv w:val="1"/>
      <w:marLeft w:val="0"/>
      <w:marRight w:val="0"/>
      <w:marTop w:val="0"/>
      <w:marBottom w:val="0"/>
      <w:divBdr>
        <w:top w:val="none" w:sz="0" w:space="0" w:color="auto"/>
        <w:left w:val="none" w:sz="0" w:space="0" w:color="auto"/>
        <w:bottom w:val="none" w:sz="0" w:space="0" w:color="auto"/>
        <w:right w:val="none" w:sz="0" w:space="0" w:color="auto"/>
      </w:divBdr>
    </w:div>
    <w:div w:id="935476519">
      <w:bodyDiv w:val="1"/>
      <w:marLeft w:val="0"/>
      <w:marRight w:val="0"/>
      <w:marTop w:val="0"/>
      <w:marBottom w:val="0"/>
      <w:divBdr>
        <w:top w:val="none" w:sz="0" w:space="0" w:color="auto"/>
        <w:left w:val="none" w:sz="0" w:space="0" w:color="auto"/>
        <w:bottom w:val="none" w:sz="0" w:space="0" w:color="auto"/>
        <w:right w:val="none" w:sz="0" w:space="0" w:color="auto"/>
      </w:divBdr>
    </w:div>
    <w:div w:id="937756989">
      <w:bodyDiv w:val="1"/>
      <w:marLeft w:val="0"/>
      <w:marRight w:val="0"/>
      <w:marTop w:val="0"/>
      <w:marBottom w:val="0"/>
      <w:divBdr>
        <w:top w:val="none" w:sz="0" w:space="0" w:color="auto"/>
        <w:left w:val="none" w:sz="0" w:space="0" w:color="auto"/>
        <w:bottom w:val="none" w:sz="0" w:space="0" w:color="auto"/>
        <w:right w:val="none" w:sz="0" w:space="0" w:color="auto"/>
      </w:divBdr>
    </w:div>
    <w:div w:id="1037051508">
      <w:bodyDiv w:val="1"/>
      <w:marLeft w:val="0"/>
      <w:marRight w:val="0"/>
      <w:marTop w:val="0"/>
      <w:marBottom w:val="0"/>
      <w:divBdr>
        <w:top w:val="none" w:sz="0" w:space="0" w:color="auto"/>
        <w:left w:val="none" w:sz="0" w:space="0" w:color="auto"/>
        <w:bottom w:val="none" w:sz="0" w:space="0" w:color="auto"/>
        <w:right w:val="none" w:sz="0" w:space="0" w:color="auto"/>
      </w:divBdr>
    </w:div>
    <w:div w:id="1184246865">
      <w:bodyDiv w:val="1"/>
      <w:marLeft w:val="0"/>
      <w:marRight w:val="0"/>
      <w:marTop w:val="0"/>
      <w:marBottom w:val="0"/>
      <w:divBdr>
        <w:top w:val="none" w:sz="0" w:space="0" w:color="auto"/>
        <w:left w:val="none" w:sz="0" w:space="0" w:color="auto"/>
        <w:bottom w:val="none" w:sz="0" w:space="0" w:color="auto"/>
        <w:right w:val="none" w:sz="0" w:space="0" w:color="auto"/>
      </w:divBdr>
    </w:div>
    <w:div w:id="1300038415">
      <w:bodyDiv w:val="1"/>
      <w:marLeft w:val="0"/>
      <w:marRight w:val="0"/>
      <w:marTop w:val="0"/>
      <w:marBottom w:val="0"/>
      <w:divBdr>
        <w:top w:val="none" w:sz="0" w:space="0" w:color="auto"/>
        <w:left w:val="none" w:sz="0" w:space="0" w:color="auto"/>
        <w:bottom w:val="none" w:sz="0" w:space="0" w:color="auto"/>
        <w:right w:val="none" w:sz="0" w:space="0" w:color="auto"/>
      </w:divBdr>
    </w:div>
    <w:div w:id="1469595082">
      <w:bodyDiv w:val="1"/>
      <w:marLeft w:val="0"/>
      <w:marRight w:val="0"/>
      <w:marTop w:val="0"/>
      <w:marBottom w:val="0"/>
      <w:divBdr>
        <w:top w:val="none" w:sz="0" w:space="0" w:color="auto"/>
        <w:left w:val="none" w:sz="0" w:space="0" w:color="auto"/>
        <w:bottom w:val="none" w:sz="0" w:space="0" w:color="auto"/>
        <w:right w:val="none" w:sz="0" w:space="0" w:color="auto"/>
      </w:divBdr>
    </w:div>
    <w:div w:id="1611551419">
      <w:bodyDiv w:val="1"/>
      <w:marLeft w:val="0"/>
      <w:marRight w:val="0"/>
      <w:marTop w:val="0"/>
      <w:marBottom w:val="0"/>
      <w:divBdr>
        <w:top w:val="none" w:sz="0" w:space="0" w:color="auto"/>
        <w:left w:val="none" w:sz="0" w:space="0" w:color="auto"/>
        <w:bottom w:val="none" w:sz="0" w:space="0" w:color="auto"/>
        <w:right w:val="none" w:sz="0" w:space="0" w:color="auto"/>
      </w:divBdr>
    </w:div>
    <w:div w:id="1613200574">
      <w:bodyDiv w:val="1"/>
      <w:marLeft w:val="0"/>
      <w:marRight w:val="0"/>
      <w:marTop w:val="0"/>
      <w:marBottom w:val="0"/>
      <w:divBdr>
        <w:top w:val="none" w:sz="0" w:space="0" w:color="auto"/>
        <w:left w:val="none" w:sz="0" w:space="0" w:color="auto"/>
        <w:bottom w:val="none" w:sz="0" w:space="0" w:color="auto"/>
        <w:right w:val="none" w:sz="0" w:space="0" w:color="auto"/>
      </w:divBdr>
    </w:div>
    <w:div w:id="1680351826">
      <w:bodyDiv w:val="1"/>
      <w:marLeft w:val="0"/>
      <w:marRight w:val="0"/>
      <w:marTop w:val="0"/>
      <w:marBottom w:val="0"/>
      <w:divBdr>
        <w:top w:val="none" w:sz="0" w:space="0" w:color="auto"/>
        <w:left w:val="none" w:sz="0" w:space="0" w:color="auto"/>
        <w:bottom w:val="none" w:sz="0" w:space="0" w:color="auto"/>
        <w:right w:val="none" w:sz="0" w:space="0" w:color="auto"/>
      </w:divBdr>
    </w:div>
    <w:div w:id="1784222594">
      <w:bodyDiv w:val="1"/>
      <w:marLeft w:val="0"/>
      <w:marRight w:val="0"/>
      <w:marTop w:val="0"/>
      <w:marBottom w:val="0"/>
      <w:divBdr>
        <w:top w:val="none" w:sz="0" w:space="0" w:color="auto"/>
        <w:left w:val="none" w:sz="0" w:space="0" w:color="auto"/>
        <w:bottom w:val="none" w:sz="0" w:space="0" w:color="auto"/>
        <w:right w:val="none" w:sz="0" w:space="0" w:color="auto"/>
      </w:divBdr>
    </w:div>
    <w:div w:id="1844664719">
      <w:bodyDiv w:val="1"/>
      <w:marLeft w:val="0"/>
      <w:marRight w:val="0"/>
      <w:marTop w:val="0"/>
      <w:marBottom w:val="0"/>
      <w:divBdr>
        <w:top w:val="none" w:sz="0" w:space="0" w:color="auto"/>
        <w:left w:val="none" w:sz="0" w:space="0" w:color="auto"/>
        <w:bottom w:val="none" w:sz="0" w:space="0" w:color="auto"/>
        <w:right w:val="none" w:sz="0" w:space="0" w:color="auto"/>
      </w:divBdr>
    </w:div>
    <w:div w:id="1851984964">
      <w:bodyDiv w:val="1"/>
      <w:marLeft w:val="0"/>
      <w:marRight w:val="0"/>
      <w:marTop w:val="0"/>
      <w:marBottom w:val="0"/>
      <w:divBdr>
        <w:top w:val="none" w:sz="0" w:space="0" w:color="auto"/>
        <w:left w:val="none" w:sz="0" w:space="0" w:color="auto"/>
        <w:bottom w:val="none" w:sz="0" w:space="0" w:color="auto"/>
        <w:right w:val="none" w:sz="0" w:space="0" w:color="auto"/>
      </w:divBdr>
    </w:div>
    <w:div w:id="19439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18C66C7-8926-43C5-93DC-7BB9CCA6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16891</Words>
  <Characters>91216</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Jordao Mota Goncalves</dc:creator>
  <cp:keywords/>
  <dc:description/>
  <cp:lastModifiedBy>Jordao Mota Goncalves</cp:lastModifiedBy>
  <cp:revision>2</cp:revision>
  <cp:lastPrinted>2019-08-05T17:00:00Z</cp:lastPrinted>
  <dcterms:created xsi:type="dcterms:W3CDTF">2019-08-14T11:52:00Z</dcterms:created>
  <dcterms:modified xsi:type="dcterms:W3CDTF">2019-08-14T11:52:00Z</dcterms:modified>
</cp:coreProperties>
</file>